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687E35">
      <w:pPr>
        <w:jc w:val="center"/>
        <w:rPr>
          <w:rFonts w:eastAsia="华文中宋"/>
          <w:sz w:val="36"/>
          <w:szCs w:val="36"/>
        </w:rPr>
      </w:pPr>
      <w:r>
        <w:rPr>
          <w:rFonts w:eastAsia="华文中宋"/>
          <w:sz w:val="36"/>
          <w:szCs w:val="36"/>
        </w:rPr>
        <w:t>后勤处生活服务中心材料供货服务合同</w:t>
      </w:r>
      <w:r>
        <w:rPr>
          <w:rFonts w:hint="eastAsia" w:eastAsia="华文中宋"/>
          <w:sz w:val="36"/>
          <w:szCs w:val="36"/>
        </w:rPr>
        <w:t>(模板)</w:t>
      </w:r>
    </w:p>
    <w:p w14:paraId="0C27CF01">
      <w:pPr>
        <w:spacing w:before="156" w:beforeLines="50" w:line="360" w:lineRule="auto"/>
        <w:rPr>
          <w:rFonts w:ascii="宋体" w:hAnsi="宋体"/>
          <w:szCs w:val="21"/>
          <w:u w:val="single"/>
        </w:rPr>
      </w:pPr>
      <w:r>
        <w:rPr>
          <w:rFonts w:ascii="宋体" w:hAnsi="宋体"/>
          <w:szCs w:val="21"/>
        </w:rPr>
        <w:t>合同编号：</w:t>
      </w:r>
      <w:r>
        <w:rPr>
          <w:rFonts w:hint="eastAsia" w:ascii="宋体" w:hAnsi="宋体"/>
          <w:szCs w:val="21"/>
        </w:rPr>
        <w:t xml:space="preserve">  </w:t>
      </w:r>
      <w:r>
        <w:rPr>
          <w:rFonts w:hint="eastAsia" w:ascii="宋体" w:hAnsi="宋体"/>
          <w:szCs w:val="21"/>
          <w:u w:val="single"/>
        </w:rPr>
        <w:t xml:space="preserve">             </w:t>
      </w:r>
      <w:r>
        <w:rPr>
          <w:rFonts w:ascii="宋体" w:hAnsi="宋体"/>
          <w:szCs w:val="21"/>
          <w:u w:val="single"/>
        </w:rPr>
        <w:t xml:space="preserve">  </w:t>
      </w:r>
    </w:p>
    <w:p w14:paraId="38C5F6C6">
      <w:pPr>
        <w:spacing w:line="360" w:lineRule="auto"/>
        <w:rPr>
          <w:rFonts w:ascii="宋体" w:hAnsi="宋体"/>
          <w:szCs w:val="21"/>
          <w:u w:val="single"/>
        </w:rPr>
      </w:pPr>
      <w:r>
        <w:rPr>
          <w:rFonts w:ascii="宋体" w:hAnsi="宋体"/>
          <w:szCs w:val="21"/>
        </w:rPr>
        <w:t>甲方（购货单位）：</w:t>
      </w:r>
      <w:r>
        <w:rPr>
          <w:rFonts w:ascii="宋体" w:hAnsi="宋体"/>
          <w:szCs w:val="21"/>
          <w:u w:val="single"/>
        </w:rPr>
        <w:t xml:space="preserve">华南理工大学 </w:t>
      </w:r>
    </w:p>
    <w:p w14:paraId="0DCAF4D0">
      <w:pPr>
        <w:spacing w:line="360" w:lineRule="auto"/>
        <w:rPr>
          <w:rFonts w:ascii="宋体" w:hAnsi="宋体"/>
          <w:szCs w:val="21"/>
        </w:rPr>
      </w:pPr>
      <w:r>
        <w:rPr>
          <w:rFonts w:ascii="宋体" w:hAnsi="宋体"/>
          <w:szCs w:val="21"/>
        </w:rPr>
        <w:t>乙方（供货单位）：</w:t>
      </w:r>
      <w:r>
        <w:rPr>
          <w:rFonts w:hint="eastAsia" w:ascii="宋体" w:hAnsi="宋体"/>
          <w:szCs w:val="21"/>
          <w:u w:val="single"/>
        </w:rPr>
        <w:t xml:space="preserve">              </w:t>
      </w:r>
    </w:p>
    <w:p w14:paraId="2E5F75F8">
      <w:pPr>
        <w:spacing w:line="360" w:lineRule="auto"/>
        <w:ind w:firstLine="420" w:firstLineChars="200"/>
        <w:rPr>
          <w:rFonts w:ascii="宋体" w:hAnsi="宋体"/>
          <w:szCs w:val="21"/>
        </w:rPr>
      </w:pPr>
      <w:r>
        <w:rPr>
          <w:rFonts w:ascii="宋体" w:hAnsi="宋体"/>
          <w:szCs w:val="21"/>
        </w:rPr>
        <w:t>经过公开</w:t>
      </w:r>
      <w:r>
        <w:rPr>
          <w:rFonts w:hint="eastAsia" w:ascii="宋体" w:hAnsi="宋体"/>
          <w:szCs w:val="21"/>
        </w:rPr>
        <w:t>竞价</w:t>
      </w:r>
      <w:r>
        <w:rPr>
          <w:rFonts w:ascii="宋体" w:hAnsi="宋体"/>
          <w:szCs w:val="21"/>
        </w:rPr>
        <w:t>工作和友好协商，本着平等互利，友好合作的原则，根据《中华人民共和国</w:t>
      </w:r>
      <w:r>
        <w:rPr>
          <w:rFonts w:hint="eastAsia" w:ascii="宋体" w:hAnsi="宋体"/>
          <w:szCs w:val="21"/>
        </w:rPr>
        <w:t>民法典</w:t>
      </w:r>
      <w:r>
        <w:rPr>
          <w:rFonts w:ascii="宋体" w:hAnsi="宋体"/>
          <w:szCs w:val="21"/>
        </w:rPr>
        <w:t>》、《中华人民共和国产品质量法》的有关规定，甲乙双方签订本合同。</w:t>
      </w:r>
    </w:p>
    <w:p w14:paraId="3148CC8D">
      <w:pPr>
        <w:spacing w:before="156" w:beforeLines="50" w:line="360" w:lineRule="auto"/>
        <w:ind w:firstLine="420" w:firstLineChars="200"/>
        <w:rPr>
          <w:rFonts w:ascii="宋体" w:hAnsi="宋体"/>
          <w:szCs w:val="21"/>
        </w:rPr>
      </w:pPr>
      <w:r>
        <w:rPr>
          <w:rFonts w:ascii="宋体" w:hAnsi="宋体"/>
          <w:szCs w:val="21"/>
        </w:rPr>
        <w:t>一、合同履行的时间为</w:t>
      </w:r>
      <w:r>
        <w:rPr>
          <w:rFonts w:hint="eastAsia" w:ascii="宋体" w:hAnsi="宋体"/>
          <w:szCs w:val="21"/>
          <w:u w:val="single"/>
        </w:rPr>
        <w:t xml:space="preserve">   </w:t>
      </w:r>
      <w:r>
        <w:rPr>
          <w:rFonts w:ascii="宋体" w:hAnsi="宋体"/>
          <w:szCs w:val="21"/>
        </w:rPr>
        <w:t>年</w:t>
      </w:r>
      <w:r>
        <w:rPr>
          <w:rFonts w:hint="eastAsia" w:ascii="宋体" w:hAnsi="宋体"/>
          <w:szCs w:val="21"/>
          <w:u w:val="single"/>
        </w:rPr>
        <w:t xml:space="preserve">   </w:t>
      </w:r>
      <w:r>
        <w:rPr>
          <w:rFonts w:ascii="宋体" w:hAnsi="宋体"/>
          <w:szCs w:val="21"/>
        </w:rPr>
        <w:t>月</w:t>
      </w:r>
      <w:r>
        <w:rPr>
          <w:rFonts w:hint="eastAsia" w:ascii="宋体" w:hAnsi="宋体"/>
          <w:szCs w:val="21"/>
          <w:u w:val="single"/>
        </w:rPr>
        <w:t xml:space="preserve">   </w:t>
      </w:r>
      <w:r>
        <w:rPr>
          <w:rFonts w:ascii="宋体" w:hAnsi="宋体"/>
          <w:szCs w:val="21"/>
        </w:rPr>
        <w:t>日起至</w:t>
      </w:r>
      <w:r>
        <w:rPr>
          <w:rFonts w:hint="eastAsia" w:ascii="宋体" w:hAnsi="宋体"/>
          <w:szCs w:val="21"/>
          <w:u w:val="single"/>
        </w:rPr>
        <w:t xml:space="preserve">    </w:t>
      </w:r>
      <w:r>
        <w:rPr>
          <w:rFonts w:ascii="宋体" w:hAnsi="宋体"/>
          <w:szCs w:val="21"/>
        </w:rPr>
        <w:t>年</w:t>
      </w:r>
      <w:r>
        <w:rPr>
          <w:rFonts w:hint="eastAsia" w:ascii="宋体" w:hAnsi="宋体"/>
          <w:szCs w:val="21"/>
          <w:u w:val="single"/>
        </w:rPr>
        <w:t xml:space="preserve">  </w:t>
      </w:r>
      <w:r>
        <w:rPr>
          <w:rFonts w:ascii="宋体" w:hAnsi="宋体"/>
          <w:szCs w:val="21"/>
        </w:rPr>
        <w:t>月</w:t>
      </w:r>
      <w:r>
        <w:rPr>
          <w:rFonts w:hint="eastAsia" w:ascii="宋体" w:hAnsi="宋体"/>
          <w:szCs w:val="21"/>
          <w:u w:val="single"/>
        </w:rPr>
        <w:t xml:space="preserve">   </w:t>
      </w:r>
      <w:r>
        <w:rPr>
          <w:rFonts w:ascii="宋体" w:hAnsi="宋体"/>
          <w:szCs w:val="21"/>
        </w:rPr>
        <w:t>日止。</w:t>
      </w:r>
      <w:r>
        <w:rPr>
          <w:rFonts w:hint="eastAsia" w:ascii="宋体" w:hAnsi="宋体"/>
          <w:szCs w:val="21"/>
        </w:rPr>
        <w:t xml:space="preserve"> </w:t>
      </w:r>
    </w:p>
    <w:p w14:paraId="7F8FB768">
      <w:pPr>
        <w:spacing w:before="156" w:beforeLines="50" w:line="360" w:lineRule="auto"/>
        <w:ind w:firstLine="420" w:firstLineChars="200"/>
        <w:rPr>
          <w:rFonts w:ascii="宋体" w:hAnsi="宋体"/>
          <w:szCs w:val="21"/>
        </w:rPr>
      </w:pPr>
      <w:r>
        <w:rPr>
          <w:rFonts w:ascii="宋体" w:hAnsi="宋体"/>
          <w:szCs w:val="21"/>
        </w:rPr>
        <w:t xml:space="preserve">二、供货种类： </w:t>
      </w:r>
    </w:p>
    <w:p w14:paraId="3586224C">
      <w:pPr>
        <w:spacing w:before="156" w:beforeLines="50" w:line="360" w:lineRule="auto"/>
        <w:ind w:firstLine="420" w:firstLineChars="200"/>
        <w:rPr>
          <w:rFonts w:ascii="宋体" w:hAnsi="宋体"/>
          <w:szCs w:val="21"/>
        </w:rPr>
      </w:pPr>
      <w:r>
        <w:rPr>
          <w:rFonts w:ascii="宋体" w:hAnsi="宋体"/>
          <w:szCs w:val="21"/>
        </w:rPr>
        <w:t>三、供货价格：按照乙方</w:t>
      </w:r>
      <w:r>
        <w:rPr>
          <w:rFonts w:hint="eastAsia" w:ascii="宋体" w:hAnsi="宋体"/>
          <w:szCs w:val="21"/>
        </w:rPr>
        <w:t>报价表</w:t>
      </w:r>
      <w:r>
        <w:rPr>
          <w:rFonts w:ascii="宋体" w:hAnsi="宋体"/>
          <w:szCs w:val="21"/>
        </w:rPr>
        <w:t>的供货价格执行。</w:t>
      </w:r>
    </w:p>
    <w:p w14:paraId="062562D9">
      <w:pPr>
        <w:spacing w:before="156" w:beforeLines="50" w:line="360" w:lineRule="auto"/>
        <w:ind w:firstLine="420" w:firstLineChars="200"/>
        <w:rPr>
          <w:rFonts w:ascii="宋体" w:hAnsi="宋体"/>
          <w:szCs w:val="21"/>
        </w:rPr>
      </w:pPr>
      <w:r>
        <w:rPr>
          <w:rFonts w:ascii="宋体" w:hAnsi="宋体"/>
          <w:szCs w:val="21"/>
        </w:rPr>
        <w:t>四、质量标准：</w:t>
      </w:r>
    </w:p>
    <w:p w14:paraId="63629A71">
      <w:pPr>
        <w:spacing w:line="360" w:lineRule="auto"/>
        <w:ind w:firstLine="420" w:firstLineChars="200"/>
        <w:rPr>
          <w:rFonts w:ascii="宋体" w:hAnsi="宋体"/>
          <w:szCs w:val="21"/>
        </w:rPr>
      </w:pPr>
      <w:r>
        <w:rPr>
          <w:rFonts w:ascii="宋体" w:hAnsi="宋体"/>
          <w:szCs w:val="21"/>
        </w:rPr>
        <w:t>按产品质量说明书有关内容执行。</w:t>
      </w:r>
    </w:p>
    <w:p w14:paraId="030133A2">
      <w:pPr>
        <w:spacing w:line="360" w:lineRule="auto"/>
        <w:ind w:firstLine="420" w:firstLineChars="200"/>
        <w:rPr>
          <w:rFonts w:ascii="宋体" w:hAnsi="宋体"/>
          <w:szCs w:val="21"/>
        </w:rPr>
      </w:pPr>
      <w:r>
        <w:rPr>
          <w:rFonts w:hint="eastAsia" w:ascii="宋体" w:hAnsi="宋体"/>
          <w:szCs w:val="21"/>
        </w:rPr>
        <w:t>履约保证金</w:t>
      </w:r>
      <w:r>
        <w:rPr>
          <w:rFonts w:ascii="宋体" w:hAnsi="宋体"/>
          <w:szCs w:val="21"/>
        </w:rPr>
        <w:t>：2000元（人民币：</w:t>
      </w:r>
      <w:r>
        <w:rPr>
          <w:rFonts w:hint="eastAsia" w:ascii="宋体" w:hAnsi="宋体"/>
          <w:szCs w:val="21"/>
        </w:rPr>
        <w:t>贰</w:t>
      </w:r>
      <w:r>
        <w:rPr>
          <w:rFonts w:ascii="宋体" w:hAnsi="宋体"/>
          <w:szCs w:val="21"/>
        </w:rPr>
        <w:t>千元），将在合同期结束后一个月内退还。</w:t>
      </w:r>
    </w:p>
    <w:p w14:paraId="7B4F58E5">
      <w:pPr>
        <w:spacing w:before="156" w:beforeLines="50" w:line="360" w:lineRule="auto"/>
        <w:ind w:firstLine="420" w:firstLineChars="200"/>
        <w:rPr>
          <w:rFonts w:ascii="宋体" w:hAnsi="宋体"/>
          <w:szCs w:val="21"/>
        </w:rPr>
      </w:pPr>
      <w:r>
        <w:rPr>
          <w:rFonts w:ascii="宋体" w:hAnsi="宋体"/>
          <w:szCs w:val="21"/>
        </w:rPr>
        <w:t>五、订购方式及要求</w:t>
      </w:r>
    </w:p>
    <w:p w14:paraId="6DA3D6AC">
      <w:pPr>
        <w:spacing w:line="360" w:lineRule="auto"/>
        <w:ind w:firstLine="420" w:firstLineChars="200"/>
        <w:rPr>
          <w:rFonts w:ascii="宋体" w:hAnsi="宋体"/>
          <w:szCs w:val="21"/>
        </w:rPr>
      </w:pPr>
      <w:r>
        <w:rPr>
          <w:rFonts w:ascii="宋体" w:hAnsi="宋体"/>
          <w:szCs w:val="21"/>
        </w:rPr>
        <w:t>1. 甲方按照需要，分批向乙方订购货物，每次订货数量、送货时间及送货地点以甲方通知为准，甲方每次以电子邮件或电话的形式通知乙方，乙方单次送货数量误差不超过订货总数量的10%。</w:t>
      </w:r>
    </w:p>
    <w:p w14:paraId="065B357B">
      <w:pPr>
        <w:spacing w:line="360" w:lineRule="auto"/>
        <w:ind w:firstLine="420" w:firstLineChars="200"/>
        <w:rPr>
          <w:rFonts w:ascii="宋体" w:hAnsi="宋体"/>
          <w:szCs w:val="21"/>
        </w:rPr>
      </w:pPr>
      <w:r>
        <w:rPr>
          <w:rFonts w:ascii="宋体" w:hAnsi="宋体"/>
          <w:szCs w:val="21"/>
        </w:rPr>
        <w:t>2. 乙方接到甲方每批次送货数量及包装、送货时间、地点后，应当在2日内将货物送到业主指定地点。若乙方未能按照甲方通知正确履行该批次送货义务，甲方有权按照每批次采购金额扣减货款的20%；若乙方连续三次未按照甲方通知的送货内容履行义务，甲方有权解除合同，</w:t>
      </w:r>
      <w:r>
        <w:rPr>
          <w:rFonts w:hint="eastAsia" w:ascii="宋体" w:hAnsi="宋体"/>
          <w:szCs w:val="21"/>
        </w:rPr>
        <w:t>履约保证金</w:t>
      </w:r>
      <w:r>
        <w:rPr>
          <w:rFonts w:ascii="宋体" w:hAnsi="宋体"/>
          <w:szCs w:val="21"/>
        </w:rPr>
        <w:t>不予退还。</w:t>
      </w:r>
    </w:p>
    <w:p w14:paraId="192B8C52">
      <w:pPr>
        <w:spacing w:line="360" w:lineRule="auto"/>
        <w:ind w:firstLine="420" w:firstLineChars="200"/>
        <w:rPr>
          <w:rFonts w:ascii="宋体" w:hAnsi="宋体"/>
          <w:szCs w:val="21"/>
        </w:rPr>
      </w:pPr>
      <w:r>
        <w:rPr>
          <w:rFonts w:ascii="宋体" w:hAnsi="宋体"/>
          <w:szCs w:val="21"/>
        </w:rPr>
        <w:t>3. 乙方接到甲方每批次送货通知后，超过1日，甲方有权延迟半月付款；超过2日，甲方有权延迟1个月付款；超过3日未能履行送货义务，甲方有权解除本合同，</w:t>
      </w:r>
      <w:r>
        <w:rPr>
          <w:rFonts w:hint="eastAsia" w:ascii="宋体" w:hAnsi="宋体"/>
          <w:szCs w:val="21"/>
        </w:rPr>
        <w:t>履约保证金</w:t>
      </w:r>
      <w:r>
        <w:rPr>
          <w:rFonts w:ascii="宋体" w:hAnsi="宋体"/>
          <w:szCs w:val="21"/>
        </w:rPr>
        <w:t>不予退还，所造成的损失由乙方负责。</w:t>
      </w:r>
    </w:p>
    <w:p w14:paraId="07F54E3B">
      <w:pPr>
        <w:spacing w:line="360" w:lineRule="auto"/>
        <w:ind w:firstLine="420" w:firstLineChars="200"/>
        <w:rPr>
          <w:rFonts w:ascii="宋体" w:hAnsi="宋体"/>
          <w:szCs w:val="21"/>
        </w:rPr>
      </w:pPr>
      <w:r>
        <w:rPr>
          <w:rFonts w:ascii="宋体" w:hAnsi="宋体"/>
          <w:szCs w:val="21"/>
        </w:rPr>
        <w:t>4. 履行方式：乙方送货至甲方收货地址，运输费、装卸费及其它与之相关的一切费用由乙方承担。</w:t>
      </w:r>
    </w:p>
    <w:p w14:paraId="62E00862">
      <w:pPr>
        <w:spacing w:before="156" w:beforeLines="50" w:line="360" w:lineRule="auto"/>
        <w:ind w:firstLine="420" w:firstLineChars="200"/>
        <w:rPr>
          <w:rFonts w:ascii="宋体" w:hAnsi="宋体"/>
          <w:szCs w:val="21"/>
        </w:rPr>
      </w:pPr>
      <w:r>
        <w:rPr>
          <w:rFonts w:ascii="宋体" w:hAnsi="宋体"/>
          <w:szCs w:val="21"/>
        </w:rPr>
        <w:t>六、质量保证及售后服务</w:t>
      </w:r>
    </w:p>
    <w:p w14:paraId="1472C4F4">
      <w:pPr>
        <w:spacing w:line="360" w:lineRule="auto"/>
        <w:ind w:firstLine="420" w:firstLineChars="200"/>
        <w:rPr>
          <w:rFonts w:ascii="宋体" w:hAnsi="宋体"/>
          <w:szCs w:val="21"/>
        </w:rPr>
      </w:pPr>
      <w:r>
        <w:rPr>
          <w:rFonts w:ascii="宋体" w:hAnsi="宋体"/>
          <w:szCs w:val="21"/>
        </w:rPr>
        <w:t>1、乙方所提供的货物型号、技术规格、技术参数等质量必须与用户需求响应文件和承诺相一致。乙方提供的节能和环保产品必须是列入政府采购清单的产品。</w:t>
      </w:r>
    </w:p>
    <w:p w14:paraId="3D721BAA">
      <w:pPr>
        <w:spacing w:line="360" w:lineRule="auto"/>
        <w:ind w:firstLine="420" w:firstLineChars="200"/>
        <w:rPr>
          <w:rFonts w:ascii="宋体" w:hAnsi="宋体"/>
          <w:szCs w:val="21"/>
        </w:rPr>
      </w:pPr>
      <w:r>
        <w:rPr>
          <w:rFonts w:ascii="宋体" w:hAnsi="宋体"/>
          <w:szCs w:val="21"/>
        </w:rPr>
        <w:t>2、乙方所提供的货物必须是全新、未经使用的原装产品，且在正常安装、使用和保养条件下，其使用寿命期内各项指标均达到质量要求。</w:t>
      </w:r>
    </w:p>
    <w:p w14:paraId="4BC4C746">
      <w:pPr>
        <w:spacing w:line="360" w:lineRule="auto"/>
        <w:ind w:firstLine="420" w:firstLineChars="200"/>
        <w:rPr>
          <w:rFonts w:ascii="宋体" w:hAnsi="宋体"/>
          <w:szCs w:val="21"/>
        </w:rPr>
      </w:pPr>
      <w:r>
        <w:rPr>
          <w:rFonts w:ascii="宋体" w:hAnsi="宋体"/>
          <w:szCs w:val="21"/>
        </w:rPr>
        <w:t>3、乙方提供的货物均应以标准包装方式进行包装，每一包装单元内应附详细质量合格证。</w:t>
      </w:r>
    </w:p>
    <w:p w14:paraId="644DA554">
      <w:pPr>
        <w:spacing w:line="360" w:lineRule="auto"/>
        <w:ind w:firstLine="420" w:firstLineChars="200"/>
        <w:rPr>
          <w:rFonts w:ascii="宋体" w:hAnsi="宋体"/>
          <w:szCs w:val="21"/>
        </w:rPr>
      </w:pPr>
      <w:r>
        <w:rPr>
          <w:rFonts w:ascii="宋体" w:hAnsi="宋体"/>
          <w:szCs w:val="21"/>
        </w:rPr>
        <w:t>4、乙方提供货物的质量保证期按交货验收合格之日起计。</w:t>
      </w:r>
    </w:p>
    <w:p w14:paraId="2A3F9E01">
      <w:pPr>
        <w:spacing w:line="360" w:lineRule="auto"/>
        <w:ind w:firstLine="420" w:firstLineChars="200"/>
        <w:rPr>
          <w:rFonts w:ascii="宋体" w:hAnsi="宋体"/>
          <w:szCs w:val="21"/>
        </w:rPr>
      </w:pPr>
      <w:r>
        <w:rPr>
          <w:rFonts w:ascii="宋体" w:hAnsi="宋体"/>
          <w:szCs w:val="21"/>
        </w:rPr>
        <w:t>5、在保证期内因货物本身的质量问题发生故障，乙方应无条件更换材料。</w:t>
      </w:r>
    </w:p>
    <w:p w14:paraId="12BA3E4E">
      <w:pPr>
        <w:spacing w:line="360" w:lineRule="auto"/>
        <w:ind w:firstLine="420" w:firstLineChars="200"/>
        <w:rPr>
          <w:rFonts w:ascii="宋体" w:hAnsi="宋体"/>
          <w:szCs w:val="21"/>
        </w:rPr>
      </w:pPr>
      <w:r>
        <w:rPr>
          <w:rFonts w:ascii="宋体" w:hAnsi="宋体"/>
          <w:szCs w:val="21"/>
        </w:rPr>
        <w:t>6、如在使用过程中发生质量问题，乙方在接到问题通知后60分钟内响应，72小时内免费更换有质量问题的产品。</w:t>
      </w:r>
    </w:p>
    <w:p w14:paraId="09234E0E">
      <w:pPr>
        <w:spacing w:line="360" w:lineRule="auto"/>
        <w:ind w:firstLine="420" w:firstLineChars="200"/>
        <w:rPr>
          <w:rFonts w:ascii="宋体" w:hAnsi="宋体"/>
          <w:szCs w:val="21"/>
        </w:rPr>
      </w:pPr>
      <w:r>
        <w:rPr>
          <w:rFonts w:ascii="宋体" w:hAnsi="宋体"/>
          <w:szCs w:val="21"/>
        </w:rPr>
        <w:t>7、上述的货物保修期内，因人为因素出现的故障不在免费保修范围内。</w:t>
      </w:r>
    </w:p>
    <w:p w14:paraId="014452FE">
      <w:pPr>
        <w:spacing w:line="360" w:lineRule="auto"/>
        <w:ind w:firstLine="420" w:firstLineChars="200"/>
        <w:rPr>
          <w:rFonts w:ascii="宋体" w:hAnsi="宋体"/>
          <w:szCs w:val="21"/>
        </w:rPr>
      </w:pPr>
      <w:r>
        <w:rPr>
          <w:rFonts w:ascii="宋体" w:hAnsi="宋体"/>
          <w:szCs w:val="21"/>
        </w:rPr>
        <w:t>8、如发生质量问题投诉，每次扣50元。</w:t>
      </w:r>
    </w:p>
    <w:p w14:paraId="3FB2111C">
      <w:pPr>
        <w:spacing w:line="360" w:lineRule="auto"/>
        <w:ind w:firstLine="420" w:firstLineChars="200"/>
        <w:rPr>
          <w:rFonts w:ascii="宋体" w:hAnsi="宋体"/>
          <w:szCs w:val="21"/>
        </w:rPr>
      </w:pPr>
      <w:r>
        <w:rPr>
          <w:rFonts w:ascii="宋体" w:hAnsi="宋体"/>
          <w:szCs w:val="21"/>
        </w:rPr>
        <w:t>9、合同期内出现三次检验产品不合格的情况，甲方有权终止合同，</w:t>
      </w:r>
      <w:r>
        <w:rPr>
          <w:rFonts w:hint="eastAsia" w:ascii="宋体" w:hAnsi="宋体"/>
          <w:szCs w:val="21"/>
        </w:rPr>
        <w:t>履约保证金</w:t>
      </w:r>
      <w:r>
        <w:rPr>
          <w:rFonts w:ascii="宋体" w:hAnsi="宋体"/>
          <w:szCs w:val="21"/>
        </w:rPr>
        <w:t>不予退还。</w:t>
      </w:r>
    </w:p>
    <w:p w14:paraId="736048F0">
      <w:pPr>
        <w:spacing w:before="156" w:beforeLines="50" w:line="360" w:lineRule="auto"/>
        <w:ind w:firstLine="420" w:firstLineChars="200"/>
        <w:rPr>
          <w:rFonts w:ascii="宋体" w:hAnsi="宋体"/>
          <w:szCs w:val="21"/>
        </w:rPr>
      </w:pPr>
      <w:r>
        <w:rPr>
          <w:rFonts w:ascii="宋体" w:hAnsi="宋体"/>
          <w:szCs w:val="21"/>
        </w:rPr>
        <w:t>七、双方责任</w:t>
      </w:r>
    </w:p>
    <w:p w14:paraId="2D92DFEA">
      <w:pPr>
        <w:spacing w:line="360" w:lineRule="auto"/>
        <w:ind w:firstLine="420" w:firstLineChars="200"/>
        <w:rPr>
          <w:rFonts w:ascii="宋体" w:hAnsi="宋体"/>
          <w:szCs w:val="21"/>
        </w:rPr>
      </w:pPr>
      <w:r>
        <w:rPr>
          <w:rFonts w:ascii="宋体" w:hAnsi="宋体"/>
          <w:szCs w:val="21"/>
        </w:rPr>
        <w:t>1. 甲方应及时为乙方提供订货计划，为乙方送货上门提供方便，并按时付款。</w:t>
      </w:r>
    </w:p>
    <w:p w14:paraId="17DD018F">
      <w:pPr>
        <w:spacing w:line="360" w:lineRule="auto"/>
        <w:ind w:firstLine="420" w:firstLineChars="200"/>
        <w:rPr>
          <w:rFonts w:ascii="宋体" w:hAnsi="宋体"/>
          <w:szCs w:val="21"/>
        </w:rPr>
      </w:pPr>
      <w:r>
        <w:rPr>
          <w:rFonts w:ascii="宋体" w:hAnsi="宋体"/>
          <w:szCs w:val="21"/>
        </w:rPr>
        <w:t>2. 乙方应及时提供有关票据，按实际验收数量结算。</w:t>
      </w:r>
    </w:p>
    <w:p w14:paraId="7C93D671">
      <w:pPr>
        <w:spacing w:line="360" w:lineRule="auto"/>
        <w:ind w:firstLine="420" w:firstLineChars="200"/>
        <w:rPr>
          <w:rFonts w:ascii="宋体" w:hAnsi="宋体"/>
          <w:szCs w:val="21"/>
        </w:rPr>
      </w:pPr>
      <w:r>
        <w:rPr>
          <w:rFonts w:ascii="宋体" w:hAnsi="宋体"/>
          <w:szCs w:val="21"/>
        </w:rPr>
        <w:t>3. 乙方应实行三包政策，即：包退、包换、包补足数量。在质量验收不合格或数量不足时，必须无条件及时退换、补足，不得影响甲方正常使用。若乙方送货数量超过双方约定的误差百分比，甲方有权拒收。</w:t>
      </w:r>
    </w:p>
    <w:p w14:paraId="6B7EF27B">
      <w:pPr>
        <w:spacing w:line="360" w:lineRule="auto"/>
        <w:ind w:firstLine="420" w:firstLineChars="200"/>
        <w:rPr>
          <w:rFonts w:ascii="宋体" w:hAnsi="宋体"/>
          <w:szCs w:val="21"/>
        </w:rPr>
      </w:pPr>
      <w:r>
        <w:rPr>
          <w:rFonts w:ascii="宋体" w:hAnsi="宋体"/>
          <w:szCs w:val="21"/>
        </w:rPr>
        <w:t>4. 甲方若对乙方送货者有任何意见，可随时向乙方反映，乙方应及时处理、加强管理、改进工作，否则甲方有权单方面无条件终止协议。</w:t>
      </w:r>
    </w:p>
    <w:p w14:paraId="588A9083">
      <w:pPr>
        <w:spacing w:line="360" w:lineRule="auto"/>
        <w:ind w:firstLine="420" w:firstLineChars="200"/>
        <w:rPr>
          <w:rFonts w:ascii="宋体" w:hAnsi="宋体"/>
          <w:szCs w:val="21"/>
        </w:rPr>
      </w:pPr>
      <w:r>
        <w:rPr>
          <w:rFonts w:ascii="宋体" w:hAnsi="宋体"/>
          <w:szCs w:val="21"/>
        </w:rPr>
        <w:t>5. 如甲、乙一方因价格、服务或质量等原因要求提前终止协议，必须提前十五天书面通知对方，并经双方协商一致后解除本合同。</w:t>
      </w:r>
    </w:p>
    <w:p w14:paraId="01D41937">
      <w:pPr>
        <w:spacing w:before="156" w:beforeLines="50" w:line="360" w:lineRule="auto"/>
        <w:ind w:firstLine="420" w:firstLineChars="200"/>
        <w:rPr>
          <w:rFonts w:ascii="宋体" w:hAnsi="宋体"/>
          <w:szCs w:val="21"/>
        </w:rPr>
      </w:pPr>
      <w:r>
        <w:rPr>
          <w:rFonts w:ascii="宋体" w:hAnsi="宋体"/>
          <w:szCs w:val="21"/>
        </w:rPr>
        <w:t>八、违约责任</w:t>
      </w:r>
    </w:p>
    <w:p w14:paraId="722B2513">
      <w:pPr>
        <w:spacing w:line="360" w:lineRule="auto"/>
        <w:ind w:firstLine="420" w:firstLineChars="200"/>
        <w:rPr>
          <w:rFonts w:ascii="宋体" w:hAnsi="宋体"/>
          <w:szCs w:val="21"/>
        </w:rPr>
      </w:pPr>
      <w:r>
        <w:rPr>
          <w:rFonts w:ascii="宋体" w:hAnsi="宋体"/>
          <w:szCs w:val="21"/>
        </w:rPr>
        <w:t>1. 乙方未按时结算货款，甲方</w:t>
      </w:r>
      <w:r>
        <w:rPr>
          <w:rFonts w:hint="eastAsia" w:ascii="宋体" w:hAnsi="宋体"/>
          <w:szCs w:val="21"/>
        </w:rPr>
        <w:t>不承担任何责任</w:t>
      </w:r>
      <w:r>
        <w:rPr>
          <w:rFonts w:ascii="宋体" w:hAnsi="宋体"/>
          <w:szCs w:val="21"/>
        </w:rPr>
        <w:t>。</w:t>
      </w:r>
    </w:p>
    <w:p w14:paraId="149C6186">
      <w:pPr>
        <w:spacing w:line="360" w:lineRule="auto"/>
        <w:ind w:firstLine="420" w:firstLineChars="200"/>
        <w:rPr>
          <w:rFonts w:ascii="宋体" w:hAnsi="宋体"/>
          <w:szCs w:val="21"/>
        </w:rPr>
      </w:pPr>
      <w:r>
        <w:rPr>
          <w:rFonts w:ascii="宋体" w:hAnsi="宋体"/>
          <w:szCs w:val="21"/>
        </w:rPr>
        <w:t>2. 乙方连续三次未按照甲方通知的送货内容准时送货，甲方有权解除合同,履约保证金不予退还,。</w:t>
      </w:r>
    </w:p>
    <w:p w14:paraId="52532049">
      <w:pPr>
        <w:spacing w:line="360" w:lineRule="auto"/>
        <w:ind w:firstLine="420" w:firstLineChars="200"/>
        <w:rPr>
          <w:rFonts w:ascii="宋体" w:hAnsi="宋体"/>
          <w:szCs w:val="21"/>
        </w:rPr>
      </w:pPr>
      <w:r>
        <w:rPr>
          <w:rFonts w:ascii="宋体" w:hAnsi="宋体"/>
          <w:szCs w:val="21"/>
        </w:rPr>
        <w:t>3. 乙方接到甲方每批次送货通知后，超过3日未能履行送货义务，甲方有权解除本合同, 履约保证金不予退还。</w:t>
      </w:r>
    </w:p>
    <w:p w14:paraId="085D736E">
      <w:pPr>
        <w:spacing w:line="360" w:lineRule="auto"/>
        <w:ind w:firstLine="420" w:firstLineChars="200"/>
        <w:rPr>
          <w:rFonts w:ascii="宋体" w:hAnsi="宋体"/>
          <w:szCs w:val="21"/>
        </w:rPr>
      </w:pPr>
      <w:r>
        <w:rPr>
          <w:rFonts w:ascii="宋体" w:hAnsi="宋体"/>
          <w:szCs w:val="21"/>
        </w:rPr>
        <w:t>4.如乙方发生质量、价格等弄虚作假和服务不到位等违反合同的情况，甲方根据合同约定条款采取约谈、警告乃至终止合同等措施。乙方收到书面警告通知累计达到3次，经甲方</w:t>
      </w:r>
      <w:r>
        <w:rPr>
          <w:rFonts w:hint="eastAsia" w:ascii="宋体" w:hAnsi="宋体"/>
          <w:szCs w:val="21"/>
        </w:rPr>
        <w:t>采购工作小组会议确认，终止合同，</w:t>
      </w:r>
      <w:r>
        <w:rPr>
          <w:rFonts w:ascii="宋体" w:hAnsi="宋体"/>
          <w:szCs w:val="21"/>
        </w:rPr>
        <w:t>履约保证金不予退还</w:t>
      </w:r>
      <w:r>
        <w:rPr>
          <w:rFonts w:hint="eastAsia" w:ascii="宋体" w:hAnsi="宋体"/>
          <w:szCs w:val="21"/>
        </w:rPr>
        <w:t>。</w:t>
      </w:r>
      <w:r>
        <w:rPr>
          <w:rFonts w:ascii="宋体" w:hAnsi="宋体"/>
          <w:szCs w:val="21"/>
        </w:rPr>
        <w:t>将乙方列入甲方供应商黑名单，一段时间内不再接受乙方招标</w:t>
      </w:r>
      <w:r>
        <w:rPr>
          <w:rFonts w:hint="eastAsia" w:ascii="宋体" w:hAnsi="宋体"/>
          <w:szCs w:val="21"/>
        </w:rPr>
        <w:t>/竞选报名</w:t>
      </w:r>
      <w:r>
        <w:rPr>
          <w:rFonts w:ascii="宋体" w:hAnsi="宋体"/>
          <w:szCs w:val="21"/>
        </w:rPr>
        <w:t>。</w:t>
      </w:r>
    </w:p>
    <w:p w14:paraId="004A3D71">
      <w:pPr>
        <w:spacing w:line="360" w:lineRule="auto"/>
        <w:ind w:firstLine="420" w:firstLineChars="200"/>
        <w:rPr>
          <w:rFonts w:ascii="宋体" w:hAnsi="宋体"/>
          <w:szCs w:val="21"/>
        </w:rPr>
      </w:pPr>
      <w:r>
        <w:rPr>
          <w:rFonts w:ascii="宋体" w:hAnsi="宋体"/>
          <w:szCs w:val="21"/>
        </w:rPr>
        <w:t>5.发生以下情况之一的，立即终止合同协议，取消乙方供货资格，并根据造成损失和产生的社会影响追究乙方赔偿责任：</w:t>
      </w:r>
    </w:p>
    <w:p w14:paraId="6FF2A127">
      <w:pPr>
        <w:spacing w:line="360" w:lineRule="auto"/>
        <w:ind w:firstLine="420" w:firstLineChars="200"/>
        <w:rPr>
          <w:rFonts w:ascii="宋体" w:hAnsi="宋体"/>
          <w:szCs w:val="21"/>
        </w:rPr>
      </w:pPr>
      <w:r>
        <w:rPr>
          <w:rFonts w:ascii="宋体" w:hAnsi="宋体"/>
          <w:szCs w:val="21"/>
        </w:rPr>
        <w:t>5.1 乙方招标时以弄虚作假等欺诈手段获得中标的，或经营情况发生变化不符合经营要求的；</w:t>
      </w:r>
    </w:p>
    <w:p w14:paraId="0F2004DB">
      <w:pPr>
        <w:spacing w:line="360" w:lineRule="auto"/>
        <w:ind w:firstLine="420" w:firstLineChars="200"/>
        <w:rPr>
          <w:rFonts w:ascii="宋体" w:hAnsi="宋体"/>
          <w:szCs w:val="21"/>
        </w:rPr>
      </w:pPr>
      <w:r>
        <w:rPr>
          <w:rFonts w:ascii="宋体" w:hAnsi="宋体"/>
          <w:szCs w:val="21"/>
        </w:rPr>
        <w:t>5.2乙方在经营过程中，存在制假、掺假、售假、未按规定经营范围经营等违反国家及甲方有关规定的行为，经规劝、限期整改依然无效的；</w:t>
      </w:r>
    </w:p>
    <w:p w14:paraId="1FA0A650">
      <w:pPr>
        <w:spacing w:line="360" w:lineRule="auto"/>
        <w:ind w:firstLine="420" w:firstLineChars="200"/>
        <w:rPr>
          <w:rFonts w:ascii="宋体" w:hAnsi="宋体"/>
          <w:szCs w:val="21"/>
        </w:rPr>
      </w:pPr>
      <w:r>
        <w:rPr>
          <w:rFonts w:ascii="宋体" w:hAnsi="宋体"/>
          <w:szCs w:val="21"/>
        </w:rPr>
        <w:t>5.3乙方在经营过程中出现严重影响甲方声誉和形象或造成甲方严重损失的其他行为的。</w:t>
      </w:r>
    </w:p>
    <w:p w14:paraId="7CA0EEE8">
      <w:pPr>
        <w:spacing w:before="156" w:beforeLines="50" w:line="360" w:lineRule="auto"/>
        <w:ind w:firstLine="420" w:firstLineChars="200"/>
        <w:rPr>
          <w:rFonts w:ascii="宋体" w:hAnsi="宋体"/>
          <w:szCs w:val="21"/>
        </w:rPr>
      </w:pPr>
      <w:r>
        <w:rPr>
          <w:rFonts w:ascii="宋体" w:hAnsi="宋体"/>
          <w:szCs w:val="21"/>
        </w:rPr>
        <w:t>九、结算方式：</w:t>
      </w:r>
    </w:p>
    <w:p w14:paraId="03C90F30">
      <w:pPr>
        <w:spacing w:line="360" w:lineRule="auto"/>
        <w:ind w:firstLine="420" w:firstLineChars="200"/>
        <w:rPr>
          <w:rFonts w:ascii="宋体" w:hAnsi="宋体"/>
          <w:szCs w:val="21"/>
        </w:rPr>
      </w:pPr>
      <w:r>
        <w:rPr>
          <w:rFonts w:ascii="宋体" w:hAnsi="宋体"/>
          <w:szCs w:val="21"/>
        </w:rPr>
        <w:t>1. 甲方以</w:t>
      </w:r>
      <w:r>
        <w:rPr>
          <w:rFonts w:hint="eastAsia" w:ascii="宋体" w:hAnsi="宋体"/>
          <w:szCs w:val="21"/>
          <w:lang w:eastAsia="zh-CN"/>
        </w:rPr>
        <w:t>对公转账进行</w:t>
      </w:r>
      <w:r>
        <w:rPr>
          <w:rFonts w:ascii="宋体" w:hAnsi="宋体"/>
          <w:szCs w:val="21"/>
        </w:rPr>
        <w:t>付款，乙方须向甲方提供税务机关认可的正式发票，发票抬头“华南理工大学”。</w:t>
      </w:r>
    </w:p>
    <w:p w14:paraId="598EFEA7">
      <w:pPr>
        <w:spacing w:line="360" w:lineRule="auto"/>
        <w:ind w:firstLine="420" w:firstLineChars="200"/>
        <w:rPr>
          <w:rFonts w:ascii="宋体" w:hAnsi="宋体"/>
          <w:szCs w:val="21"/>
        </w:rPr>
      </w:pPr>
      <w:r>
        <w:rPr>
          <w:rFonts w:ascii="宋体" w:hAnsi="宋体"/>
          <w:szCs w:val="21"/>
        </w:rPr>
        <w:t>2. 甲方于每月12日前与乙方结清上月货款，节假日顺延。若存在违约情况，甲方有权拒绝向乙方支付货款，直到协商解决争议为止。</w:t>
      </w:r>
    </w:p>
    <w:p w14:paraId="376FD774">
      <w:pPr>
        <w:spacing w:before="156" w:beforeLines="50" w:line="360" w:lineRule="auto"/>
        <w:ind w:firstLine="420" w:firstLineChars="200"/>
        <w:rPr>
          <w:rFonts w:ascii="宋体" w:hAnsi="宋体"/>
          <w:szCs w:val="21"/>
        </w:rPr>
      </w:pPr>
      <w:r>
        <w:rPr>
          <w:rFonts w:ascii="宋体" w:hAnsi="宋体"/>
          <w:szCs w:val="21"/>
        </w:rPr>
        <w:t>十、法律权利</w:t>
      </w:r>
    </w:p>
    <w:p w14:paraId="756F4727">
      <w:pPr>
        <w:spacing w:line="360" w:lineRule="auto"/>
        <w:ind w:firstLine="420" w:firstLineChars="200"/>
        <w:rPr>
          <w:rFonts w:ascii="宋体" w:hAnsi="宋体"/>
          <w:szCs w:val="21"/>
        </w:rPr>
      </w:pPr>
      <w:r>
        <w:rPr>
          <w:rFonts w:ascii="宋体" w:hAnsi="宋体"/>
          <w:szCs w:val="21"/>
        </w:rPr>
        <w:t>1. 本合同文件包括合同、合同附件、中选通知书、补充协议、招标文件、竞选文件等其他文件，具备同等法律效应。</w:t>
      </w:r>
    </w:p>
    <w:p w14:paraId="488731E3">
      <w:pPr>
        <w:spacing w:line="360" w:lineRule="auto"/>
        <w:ind w:firstLine="420" w:firstLineChars="200"/>
        <w:rPr>
          <w:rFonts w:ascii="宋体" w:hAnsi="宋体"/>
          <w:szCs w:val="21"/>
        </w:rPr>
      </w:pPr>
      <w:r>
        <w:rPr>
          <w:rFonts w:ascii="宋体" w:hAnsi="宋体"/>
          <w:szCs w:val="21"/>
        </w:rPr>
        <w:t>2. 甲方和乙方具有同等的法律申诉权。双方应本着友好合作与共同发展的精神，就本协议书未尽事宜或有关在执行本合同过程中出现的问题进行协商解决。在双方无法协调的情况下，任何一方有权向有管辖权的人民法院起诉。</w:t>
      </w:r>
    </w:p>
    <w:p w14:paraId="76AB1640">
      <w:pPr>
        <w:spacing w:line="360" w:lineRule="auto"/>
        <w:ind w:firstLine="420" w:firstLineChars="200"/>
        <w:rPr>
          <w:rFonts w:ascii="宋体" w:hAnsi="宋体"/>
          <w:szCs w:val="21"/>
        </w:rPr>
      </w:pPr>
      <w:r>
        <w:rPr>
          <w:rFonts w:ascii="宋体" w:hAnsi="宋体"/>
          <w:szCs w:val="21"/>
        </w:rPr>
        <w:t>3. 因不可抗力造成的损失(含华南理工大学后勤处相关政策规定)，双方均不向对方承担责任。</w:t>
      </w:r>
    </w:p>
    <w:p w14:paraId="54E29919">
      <w:pPr>
        <w:spacing w:line="360" w:lineRule="auto"/>
        <w:ind w:firstLine="420" w:firstLineChars="200"/>
        <w:rPr>
          <w:rFonts w:ascii="宋体" w:hAnsi="宋体"/>
          <w:szCs w:val="21"/>
        </w:rPr>
      </w:pPr>
      <w:r>
        <w:rPr>
          <w:rFonts w:ascii="宋体" w:hAnsi="宋体"/>
          <w:szCs w:val="21"/>
        </w:rPr>
        <w:t>4. 本合同一式四份，自双方代表签字盖章后生效，甲方执三份，乙方执一份，并具有同等法律效用。</w:t>
      </w:r>
    </w:p>
    <w:p w14:paraId="7C50A4B9">
      <w:pPr>
        <w:spacing w:line="360" w:lineRule="auto"/>
        <w:ind w:firstLine="420" w:firstLineChars="200"/>
        <w:rPr>
          <w:rFonts w:ascii="宋体" w:hAnsi="宋体"/>
          <w:szCs w:val="21"/>
        </w:rPr>
      </w:pPr>
      <w:r>
        <w:rPr>
          <w:rFonts w:ascii="宋体" w:hAnsi="宋体"/>
          <w:szCs w:val="21"/>
        </w:rPr>
        <w:t>5. 履行中的补充条款同本合同具有同等法律效力。</w:t>
      </w:r>
    </w:p>
    <w:p w14:paraId="3F8691A7">
      <w:pPr>
        <w:spacing w:line="360" w:lineRule="auto"/>
        <w:ind w:firstLine="420" w:firstLineChars="200"/>
        <w:rPr>
          <w:rFonts w:ascii="宋体" w:hAnsi="宋体"/>
          <w:color w:val="000000"/>
          <w:szCs w:val="21"/>
        </w:rPr>
      </w:pPr>
      <w:r>
        <w:rPr>
          <w:rFonts w:ascii="宋体" w:hAnsi="宋体"/>
          <w:color w:val="000000"/>
          <w:szCs w:val="21"/>
        </w:rPr>
        <w:t>6. 甲乙双方在供应商招标中的有关文件、协议是本合同的附件，对双方具有法律约束力。</w:t>
      </w:r>
    </w:p>
    <w:p w14:paraId="1596D6D3">
      <w:pPr>
        <w:spacing w:line="360" w:lineRule="auto"/>
        <w:ind w:firstLine="420" w:firstLineChars="200"/>
        <w:rPr>
          <w:rFonts w:ascii="宋体" w:hAnsi="宋体"/>
          <w:color w:val="000000"/>
          <w:szCs w:val="21"/>
        </w:rPr>
      </w:pPr>
    </w:p>
    <w:p w14:paraId="17DB67F9">
      <w:pPr>
        <w:spacing w:line="360" w:lineRule="auto"/>
        <w:ind w:firstLine="420" w:firstLineChars="200"/>
        <w:rPr>
          <w:rFonts w:ascii="宋体" w:hAnsi="宋体"/>
          <w:color w:val="000000"/>
          <w:szCs w:val="21"/>
        </w:rPr>
      </w:pPr>
    </w:p>
    <w:p w14:paraId="3E1ACC40">
      <w:pPr>
        <w:tabs>
          <w:tab w:val="left" w:pos="4965"/>
        </w:tabs>
        <w:spacing w:line="360" w:lineRule="auto"/>
        <w:ind w:left="560"/>
        <w:rPr>
          <w:rFonts w:ascii="宋体" w:hAnsi="宋体"/>
          <w:color w:val="000000"/>
          <w:szCs w:val="21"/>
        </w:rPr>
      </w:pPr>
      <w:r>
        <w:rPr>
          <w:rFonts w:ascii="宋体" w:hAnsi="宋体"/>
          <w:color w:val="000000"/>
          <w:szCs w:val="21"/>
        </w:rPr>
        <w:t>甲方(加盖公章)：</w:t>
      </w:r>
      <w:r>
        <w:rPr>
          <w:rFonts w:ascii="宋体" w:hAnsi="宋体"/>
          <w:color w:val="000000"/>
          <w:szCs w:val="21"/>
        </w:rPr>
        <w:tab/>
      </w:r>
      <w:r>
        <w:rPr>
          <w:rFonts w:ascii="宋体" w:hAnsi="宋体"/>
          <w:color w:val="000000"/>
          <w:szCs w:val="21"/>
        </w:rPr>
        <w:t>乙方(加盖公章)：</w:t>
      </w:r>
    </w:p>
    <w:p w14:paraId="715C9F5D">
      <w:pPr>
        <w:spacing w:line="360" w:lineRule="auto"/>
        <w:ind w:left="560"/>
        <w:rPr>
          <w:rFonts w:ascii="宋体" w:hAnsi="宋体"/>
          <w:color w:val="000000"/>
          <w:szCs w:val="21"/>
        </w:rPr>
      </w:pPr>
      <w:r>
        <w:rPr>
          <w:rFonts w:ascii="宋体" w:hAnsi="宋体"/>
          <w:color w:val="000000"/>
          <w:szCs w:val="21"/>
        </w:rPr>
        <w:t>代表签字：                                代表签字：</w:t>
      </w:r>
    </w:p>
    <w:p w14:paraId="499AD237">
      <w:pPr>
        <w:spacing w:line="360" w:lineRule="auto"/>
        <w:ind w:left="560"/>
        <w:rPr>
          <w:rFonts w:ascii="宋体" w:hAnsi="宋体"/>
          <w:color w:val="000000"/>
          <w:szCs w:val="21"/>
        </w:rPr>
      </w:pPr>
      <w:r>
        <w:rPr>
          <w:rFonts w:ascii="宋体" w:hAnsi="宋体"/>
          <w:color w:val="000000"/>
          <w:szCs w:val="21"/>
        </w:rPr>
        <w:t>地址：                                    地址：</w:t>
      </w:r>
    </w:p>
    <w:p w14:paraId="7F0ECECF">
      <w:pPr>
        <w:spacing w:line="360" w:lineRule="auto"/>
        <w:ind w:left="560"/>
        <w:rPr>
          <w:rFonts w:ascii="宋体" w:hAnsi="宋体"/>
          <w:color w:val="000000"/>
          <w:szCs w:val="21"/>
        </w:rPr>
      </w:pPr>
      <w:r>
        <w:rPr>
          <w:rFonts w:ascii="宋体" w:hAnsi="宋体"/>
          <w:color w:val="000000"/>
          <w:szCs w:val="21"/>
        </w:rPr>
        <w:t>联系电话：                                联系电话：</w:t>
      </w:r>
    </w:p>
    <w:p w14:paraId="6BDA421A">
      <w:pPr>
        <w:spacing w:line="360" w:lineRule="auto"/>
        <w:ind w:left="560"/>
        <w:rPr>
          <w:rFonts w:ascii="宋体" w:hAnsi="宋体"/>
          <w:color w:val="000000"/>
          <w:szCs w:val="21"/>
        </w:rPr>
      </w:pPr>
      <w:r>
        <w:rPr>
          <w:rFonts w:ascii="宋体" w:hAnsi="宋体"/>
          <w:color w:val="000000"/>
          <w:szCs w:val="21"/>
        </w:rPr>
        <w:t>日 期：   年  月  日                      日 期：   年  月  日</w:t>
      </w:r>
    </w:p>
    <w:p w14:paraId="3CC78024">
      <w:pPr>
        <w:spacing w:line="360" w:lineRule="auto"/>
        <w:rPr>
          <w:rFonts w:ascii="宋体" w:hAnsi="宋体"/>
          <w:color w:val="000000"/>
          <w:szCs w:val="21"/>
        </w:rPr>
      </w:pPr>
    </w:p>
    <w:p w14:paraId="62FB6A27">
      <w:pPr>
        <w:rPr>
          <w:color w:val="000000"/>
        </w:rPr>
      </w:pPr>
    </w:p>
    <w:p w14:paraId="45692E50"/>
    <w:p w14:paraId="68BC0A5D"/>
    <w:p w14:paraId="4EFCDCB1"/>
    <w:p w14:paraId="4F871C85"/>
    <w:p w14:paraId="71E1971F"/>
    <w:p w14:paraId="0948A43F">
      <w:pPr>
        <w:spacing w:after="156" w:afterLines="50"/>
        <w:ind w:left="-708" w:leftChars="-337" w:firstLine="840" w:firstLineChars="300"/>
        <w:rPr>
          <w:rFonts w:ascii="宋体" w:hAnsi="宋体"/>
          <w:sz w:val="28"/>
          <w:szCs w:val="21"/>
        </w:rPr>
      </w:pPr>
      <w:r>
        <w:rPr>
          <w:rFonts w:ascii="宋体" w:hAnsi="宋体"/>
          <w:sz w:val="28"/>
          <w:szCs w:val="21"/>
        </w:rPr>
        <w:t>附件：</w:t>
      </w:r>
    </w:p>
    <w:tbl>
      <w:tblPr>
        <w:tblStyle w:val="6"/>
        <w:tblW w:w="9900" w:type="dxa"/>
        <w:jc w:val="center"/>
        <w:tblLayout w:type="fixed"/>
        <w:tblCellMar>
          <w:top w:w="0" w:type="dxa"/>
          <w:left w:w="108" w:type="dxa"/>
          <w:bottom w:w="0" w:type="dxa"/>
          <w:right w:w="108" w:type="dxa"/>
        </w:tblCellMar>
      </w:tblPr>
      <w:tblGrid>
        <w:gridCol w:w="725"/>
        <w:gridCol w:w="3235"/>
        <w:gridCol w:w="2520"/>
        <w:gridCol w:w="1260"/>
        <w:gridCol w:w="900"/>
        <w:gridCol w:w="1260"/>
      </w:tblGrid>
      <w:tr w14:paraId="7427DD2B">
        <w:tblPrEx>
          <w:tblCellMar>
            <w:top w:w="0" w:type="dxa"/>
            <w:left w:w="108" w:type="dxa"/>
            <w:bottom w:w="0" w:type="dxa"/>
            <w:right w:w="108" w:type="dxa"/>
          </w:tblCellMar>
        </w:tblPrEx>
        <w:trPr>
          <w:trHeight w:val="342" w:hRule="atLeast"/>
          <w:jc w:val="center"/>
        </w:trPr>
        <w:tc>
          <w:tcPr>
            <w:tcW w:w="72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D87A149">
            <w:pPr>
              <w:widowControl/>
              <w:jc w:val="center"/>
              <w:rPr>
                <w:rFonts w:ascii="宋体" w:hAnsi="宋体"/>
                <w:b/>
                <w:bCs/>
                <w:kern w:val="0"/>
                <w:szCs w:val="21"/>
              </w:rPr>
            </w:pPr>
            <w:r>
              <w:rPr>
                <w:rFonts w:ascii="宋体" w:hAnsi="宋体"/>
                <w:b/>
                <w:bCs/>
                <w:kern w:val="0"/>
                <w:szCs w:val="21"/>
              </w:rPr>
              <w:t>序号</w:t>
            </w:r>
          </w:p>
        </w:tc>
        <w:tc>
          <w:tcPr>
            <w:tcW w:w="3235" w:type="dxa"/>
            <w:tcBorders>
              <w:top w:val="single" w:color="auto" w:sz="4" w:space="0"/>
              <w:left w:val="nil"/>
              <w:bottom w:val="single" w:color="auto" w:sz="4" w:space="0"/>
              <w:right w:val="single" w:color="auto" w:sz="4" w:space="0"/>
            </w:tcBorders>
            <w:shd w:val="clear" w:color="auto" w:fill="auto"/>
            <w:noWrap/>
            <w:vAlign w:val="center"/>
          </w:tcPr>
          <w:p w14:paraId="3E5AB5E7">
            <w:pPr>
              <w:widowControl/>
              <w:jc w:val="center"/>
              <w:rPr>
                <w:rFonts w:ascii="宋体" w:hAnsi="宋体"/>
                <w:b/>
                <w:bCs/>
                <w:kern w:val="0"/>
                <w:szCs w:val="21"/>
              </w:rPr>
            </w:pPr>
            <w:r>
              <w:rPr>
                <w:rFonts w:ascii="宋体" w:hAnsi="宋体"/>
                <w:b/>
                <w:bCs/>
                <w:kern w:val="0"/>
                <w:szCs w:val="21"/>
              </w:rPr>
              <w:t>名称</w:t>
            </w:r>
          </w:p>
        </w:tc>
        <w:tc>
          <w:tcPr>
            <w:tcW w:w="2520" w:type="dxa"/>
            <w:tcBorders>
              <w:top w:val="single" w:color="auto" w:sz="4" w:space="0"/>
              <w:left w:val="nil"/>
              <w:bottom w:val="single" w:color="auto" w:sz="4" w:space="0"/>
              <w:right w:val="single" w:color="auto" w:sz="4" w:space="0"/>
            </w:tcBorders>
            <w:shd w:val="clear" w:color="auto" w:fill="auto"/>
            <w:vAlign w:val="center"/>
          </w:tcPr>
          <w:p w14:paraId="506EFC17">
            <w:pPr>
              <w:widowControl/>
              <w:jc w:val="center"/>
              <w:rPr>
                <w:rFonts w:ascii="宋体" w:hAnsi="宋体"/>
                <w:b/>
                <w:bCs/>
                <w:kern w:val="0"/>
                <w:szCs w:val="21"/>
              </w:rPr>
            </w:pPr>
            <w:r>
              <w:rPr>
                <w:rFonts w:hint="eastAsia" w:ascii="宋体" w:hAnsi="宋体"/>
                <w:b/>
                <w:bCs/>
                <w:kern w:val="0"/>
                <w:szCs w:val="21"/>
              </w:rPr>
              <w:t>品牌</w:t>
            </w:r>
          </w:p>
        </w:tc>
        <w:tc>
          <w:tcPr>
            <w:tcW w:w="1260" w:type="dxa"/>
            <w:tcBorders>
              <w:top w:val="single" w:color="auto" w:sz="4" w:space="0"/>
              <w:left w:val="nil"/>
              <w:bottom w:val="single" w:color="auto" w:sz="4" w:space="0"/>
              <w:right w:val="single" w:color="auto" w:sz="4" w:space="0"/>
            </w:tcBorders>
            <w:shd w:val="clear" w:color="auto" w:fill="auto"/>
            <w:noWrap/>
            <w:vAlign w:val="center"/>
          </w:tcPr>
          <w:p w14:paraId="40B8D3C5">
            <w:pPr>
              <w:widowControl/>
              <w:jc w:val="center"/>
              <w:rPr>
                <w:rFonts w:ascii="宋体" w:hAnsi="宋体"/>
                <w:b/>
                <w:bCs/>
                <w:kern w:val="0"/>
                <w:szCs w:val="21"/>
              </w:rPr>
            </w:pPr>
            <w:r>
              <w:rPr>
                <w:rFonts w:hint="eastAsia" w:ascii="宋体" w:hAnsi="宋体"/>
                <w:b/>
                <w:bCs/>
                <w:kern w:val="0"/>
                <w:szCs w:val="21"/>
              </w:rPr>
              <w:t>规格</w:t>
            </w:r>
          </w:p>
        </w:tc>
        <w:tc>
          <w:tcPr>
            <w:tcW w:w="900" w:type="dxa"/>
            <w:tcBorders>
              <w:top w:val="single" w:color="auto" w:sz="4" w:space="0"/>
              <w:left w:val="nil"/>
              <w:bottom w:val="single" w:color="auto" w:sz="4" w:space="0"/>
              <w:right w:val="single" w:color="auto" w:sz="4" w:space="0"/>
            </w:tcBorders>
            <w:shd w:val="clear" w:color="auto" w:fill="auto"/>
            <w:noWrap/>
            <w:vAlign w:val="center"/>
          </w:tcPr>
          <w:p w14:paraId="48858778">
            <w:pPr>
              <w:widowControl/>
              <w:jc w:val="center"/>
              <w:rPr>
                <w:rFonts w:ascii="宋体" w:hAnsi="宋体" w:cs="宋体"/>
                <w:b/>
                <w:bCs/>
                <w:kern w:val="0"/>
                <w:szCs w:val="21"/>
              </w:rPr>
            </w:pPr>
            <w:r>
              <w:rPr>
                <w:rFonts w:hint="eastAsia" w:ascii="宋体" w:hAnsi="宋体" w:cs="宋体"/>
                <w:b/>
                <w:bCs/>
                <w:kern w:val="0"/>
                <w:szCs w:val="21"/>
              </w:rPr>
              <w:t>单位</w:t>
            </w:r>
          </w:p>
        </w:tc>
        <w:tc>
          <w:tcPr>
            <w:tcW w:w="1260" w:type="dxa"/>
            <w:tcBorders>
              <w:top w:val="single" w:color="auto" w:sz="4" w:space="0"/>
              <w:left w:val="nil"/>
              <w:bottom w:val="single" w:color="auto" w:sz="4" w:space="0"/>
              <w:right w:val="single" w:color="auto" w:sz="4" w:space="0"/>
            </w:tcBorders>
            <w:shd w:val="clear" w:color="auto" w:fill="auto"/>
            <w:noWrap/>
            <w:vAlign w:val="center"/>
          </w:tcPr>
          <w:p w14:paraId="70E1913D">
            <w:pPr>
              <w:widowControl/>
              <w:jc w:val="center"/>
              <w:rPr>
                <w:rFonts w:ascii="宋体" w:hAnsi="宋体"/>
                <w:b/>
                <w:bCs/>
                <w:kern w:val="0"/>
                <w:szCs w:val="21"/>
              </w:rPr>
            </w:pPr>
            <w:r>
              <w:rPr>
                <w:rFonts w:ascii="宋体" w:hAnsi="宋体"/>
                <w:b/>
                <w:bCs/>
                <w:kern w:val="0"/>
                <w:szCs w:val="21"/>
              </w:rPr>
              <w:t>单价(元)</w:t>
            </w:r>
          </w:p>
        </w:tc>
      </w:tr>
      <w:tr w14:paraId="08F37701">
        <w:tblPrEx>
          <w:tblCellMar>
            <w:top w:w="0" w:type="dxa"/>
            <w:left w:w="108" w:type="dxa"/>
            <w:bottom w:w="0" w:type="dxa"/>
            <w:right w:w="108" w:type="dxa"/>
          </w:tblCellMar>
        </w:tblPrEx>
        <w:trPr>
          <w:trHeight w:val="342" w:hRule="atLeast"/>
          <w:jc w:val="center"/>
        </w:trPr>
        <w:tc>
          <w:tcPr>
            <w:tcW w:w="72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8025E28">
            <w:pPr>
              <w:widowControl/>
              <w:jc w:val="center"/>
              <w:rPr>
                <w:rFonts w:ascii="宋体" w:hAnsi="宋体"/>
                <w:b/>
                <w:bCs/>
                <w:kern w:val="0"/>
                <w:szCs w:val="21"/>
              </w:rPr>
            </w:pPr>
          </w:p>
        </w:tc>
        <w:tc>
          <w:tcPr>
            <w:tcW w:w="3235" w:type="dxa"/>
            <w:tcBorders>
              <w:top w:val="single" w:color="auto" w:sz="4" w:space="0"/>
              <w:left w:val="nil"/>
              <w:bottom w:val="single" w:color="auto" w:sz="4" w:space="0"/>
              <w:right w:val="single" w:color="auto" w:sz="4" w:space="0"/>
            </w:tcBorders>
            <w:shd w:val="clear" w:color="auto" w:fill="auto"/>
            <w:noWrap/>
            <w:vAlign w:val="center"/>
          </w:tcPr>
          <w:p w14:paraId="561615C0">
            <w:pPr>
              <w:widowControl/>
              <w:jc w:val="center"/>
              <w:rPr>
                <w:rFonts w:ascii="宋体" w:hAnsi="宋体"/>
                <w:b/>
                <w:bCs/>
                <w:kern w:val="0"/>
                <w:szCs w:val="21"/>
              </w:rPr>
            </w:pPr>
          </w:p>
        </w:tc>
        <w:tc>
          <w:tcPr>
            <w:tcW w:w="2520" w:type="dxa"/>
            <w:tcBorders>
              <w:top w:val="single" w:color="auto" w:sz="4" w:space="0"/>
              <w:left w:val="nil"/>
              <w:bottom w:val="single" w:color="auto" w:sz="4" w:space="0"/>
              <w:right w:val="single" w:color="auto" w:sz="4" w:space="0"/>
            </w:tcBorders>
            <w:shd w:val="clear" w:color="auto" w:fill="auto"/>
            <w:vAlign w:val="center"/>
          </w:tcPr>
          <w:p w14:paraId="1F3B4C37">
            <w:pPr>
              <w:widowControl/>
              <w:jc w:val="center"/>
              <w:rPr>
                <w:rFonts w:ascii="宋体" w:hAnsi="宋体"/>
                <w:b/>
                <w:bCs/>
                <w:kern w:val="0"/>
                <w:szCs w:val="21"/>
              </w:rPr>
            </w:pPr>
          </w:p>
        </w:tc>
        <w:tc>
          <w:tcPr>
            <w:tcW w:w="1260" w:type="dxa"/>
            <w:tcBorders>
              <w:top w:val="single" w:color="auto" w:sz="4" w:space="0"/>
              <w:left w:val="nil"/>
              <w:bottom w:val="single" w:color="auto" w:sz="4" w:space="0"/>
              <w:right w:val="single" w:color="auto" w:sz="4" w:space="0"/>
            </w:tcBorders>
            <w:shd w:val="clear" w:color="auto" w:fill="auto"/>
            <w:noWrap/>
            <w:vAlign w:val="center"/>
          </w:tcPr>
          <w:p w14:paraId="7276C1B0">
            <w:pPr>
              <w:widowControl/>
              <w:jc w:val="center"/>
              <w:rPr>
                <w:rFonts w:ascii="宋体" w:hAnsi="宋体"/>
                <w:b/>
                <w:bCs/>
                <w:kern w:val="0"/>
                <w:szCs w:val="21"/>
              </w:rPr>
            </w:pPr>
          </w:p>
        </w:tc>
        <w:tc>
          <w:tcPr>
            <w:tcW w:w="900" w:type="dxa"/>
            <w:tcBorders>
              <w:top w:val="single" w:color="auto" w:sz="4" w:space="0"/>
              <w:left w:val="nil"/>
              <w:bottom w:val="single" w:color="auto" w:sz="4" w:space="0"/>
              <w:right w:val="single" w:color="auto" w:sz="4" w:space="0"/>
            </w:tcBorders>
            <w:shd w:val="clear" w:color="auto" w:fill="auto"/>
            <w:noWrap/>
            <w:vAlign w:val="center"/>
          </w:tcPr>
          <w:p w14:paraId="6BA41C33">
            <w:pPr>
              <w:widowControl/>
              <w:jc w:val="center"/>
              <w:rPr>
                <w:rFonts w:ascii="宋体" w:hAnsi="宋体" w:cs="宋体"/>
                <w:b/>
                <w:bCs/>
                <w:kern w:val="0"/>
                <w:szCs w:val="21"/>
              </w:rPr>
            </w:pPr>
          </w:p>
        </w:tc>
        <w:tc>
          <w:tcPr>
            <w:tcW w:w="1260" w:type="dxa"/>
            <w:tcBorders>
              <w:top w:val="single" w:color="auto" w:sz="4" w:space="0"/>
              <w:left w:val="nil"/>
              <w:bottom w:val="single" w:color="auto" w:sz="4" w:space="0"/>
              <w:right w:val="single" w:color="auto" w:sz="4" w:space="0"/>
            </w:tcBorders>
            <w:shd w:val="clear" w:color="auto" w:fill="auto"/>
            <w:noWrap/>
            <w:vAlign w:val="center"/>
          </w:tcPr>
          <w:p w14:paraId="4855A1FC">
            <w:pPr>
              <w:widowControl/>
              <w:jc w:val="center"/>
              <w:rPr>
                <w:rFonts w:ascii="宋体" w:hAnsi="宋体"/>
                <w:b/>
                <w:bCs/>
                <w:kern w:val="0"/>
                <w:szCs w:val="21"/>
              </w:rPr>
            </w:pPr>
          </w:p>
        </w:tc>
      </w:tr>
      <w:tr w14:paraId="264B3B53">
        <w:tblPrEx>
          <w:tblCellMar>
            <w:top w:w="0" w:type="dxa"/>
            <w:left w:w="108" w:type="dxa"/>
            <w:bottom w:w="0" w:type="dxa"/>
            <w:right w:w="108" w:type="dxa"/>
          </w:tblCellMar>
        </w:tblPrEx>
        <w:trPr>
          <w:trHeight w:val="342" w:hRule="atLeast"/>
          <w:jc w:val="center"/>
        </w:trPr>
        <w:tc>
          <w:tcPr>
            <w:tcW w:w="72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1A615B4">
            <w:pPr>
              <w:widowControl/>
              <w:jc w:val="center"/>
              <w:rPr>
                <w:rFonts w:ascii="宋体" w:hAnsi="宋体"/>
                <w:b/>
                <w:bCs/>
                <w:kern w:val="0"/>
                <w:szCs w:val="21"/>
              </w:rPr>
            </w:pPr>
          </w:p>
        </w:tc>
        <w:tc>
          <w:tcPr>
            <w:tcW w:w="3235" w:type="dxa"/>
            <w:tcBorders>
              <w:top w:val="single" w:color="auto" w:sz="4" w:space="0"/>
              <w:left w:val="nil"/>
              <w:bottom w:val="single" w:color="auto" w:sz="4" w:space="0"/>
              <w:right w:val="single" w:color="auto" w:sz="4" w:space="0"/>
            </w:tcBorders>
            <w:shd w:val="clear" w:color="auto" w:fill="auto"/>
            <w:noWrap/>
            <w:vAlign w:val="center"/>
          </w:tcPr>
          <w:p w14:paraId="2317EB70">
            <w:pPr>
              <w:widowControl/>
              <w:jc w:val="center"/>
              <w:rPr>
                <w:rFonts w:ascii="宋体" w:hAnsi="宋体"/>
                <w:b/>
                <w:bCs/>
                <w:kern w:val="0"/>
                <w:szCs w:val="21"/>
              </w:rPr>
            </w:pPr>
          </w:p>
        </w:tc>
        <w:tc>
          <w:tcPr>
            <w:tcW w:w="2520" w:type="dxa"/>
            <w:tcBorders>
              <w:top w:val="single" w:color="auto" w:sz="4" w:space="0"/>
              <w:left w:val="nil"/>
              <w:bottom w:val="single" w:color="auto" w:sz="4" w:space="0"/>
              <w:right w:val="single" w:color="auto" w:sz="4" w:space="0"/>
            </w:tcBorders>
            <w:shd w:val="clear" w:color="auto" w:fill="auto"/>
            <w:vAlign w:val="center"/>
          </w:tcPr>
          <w:p w14:paraId="32135ECE">
            <w:pPr>
              <w:widowControl/>
              <w:jc w:val="center"/>
              <w:rPr>
                <w:rFonts w:ascii="宋体" w:hAnsi="宋体"/>
                <w:b/>
                <w:bCs/>
                <w:kern w:val="0"/>
                <w:szCs w:val="21"/>
              </w:rPr>
            </w:pPr>
          </w:p>
        </w:tc>
        <w:tc>
          <w:tcPr>
            <w:tcW w:w="1260" w:type="dxa"/>
            <w:tcBorders>
              <w:top w:val="single" w:color="auto" w:sz="4" w:space="0"/>
              <w:left w:val="nil"/>
              <w:bottom w:val="single" w:color="auto" w:sz="4" w:space="0"/>
              <w:right w:val="single" w:color="auto" w:sz="4" w:space="0"/>
            </w:tcBorders>
            <w:shd w:val="clear" w:color="auto" w:fill="auto"/>
            <w:noWrap/>
            <w:vAlign w:val="center"/>
          </w:tcPr>
          <w:p w14:paraId="17C0F83E">
            <w:pPr>
              <w:widowControl/>
              <w:jc w:val="center"/>
              <w:rPr>
                <w:rFonts w:ascii="宋体" w:hAnsi="宋体"/>
                <w:b/>
                <w:bCs/>
                <w:kern w:val="0"/>
                <w:szCs w:val="21"/>
              </w:rPr>
            </w:pPr>
          </w:p>
        </w:tc>
        <w:tc>
          <w:tcPr>
            <w:tcW w:w="900" w:type="dxa"/>
            <w:tcBorders>
              <w:top w:val="single" w:color="auto" w:sz="4" w:space="0"/>
              <w:left w:val="nil"/>
              <w:bottom w:val="single" w:color="auto" w:sz="4" w:space="0"/>
              <w:right w:val="single" w:color="auto" w:sz="4" w:space="0"/>
            </w:tcBorders>
            <w:shd w:val="clear" w:color="auto" w:fill="auto"/>
            <w:noWrap/>
            <w:vAlign w:val="center"/>
          </w:tcPr>
          <w:p w14:paraId="4AE13455">
            <w:pPr>
              <w:widowControl/>
              <w:jc w:val="center"/>
              <w:rPr>
                <w:rFonts w:ascii="宋体" w:hAnsi="宋体" w:cs="宋体"/>
                <w:b/>
                <w:bCs/>
                <w:kern w:val="0"/>
                <w:szCs w:val="21"/>
              </w:rPr>
            </w:pPr>
          </w:p>
        </w:tc>
        <w:tc>
          <w:tcPr>
            <w:tcW w:w="1260" w:type="dxa"/>
            <w:tcBorders>
              <w:top w:val="single" w:color="auto" w:sz="4" w:space="0"/>
              <w:left w:val="nil"/>
              <w:bottom w:val="single" w:color="auto" w:sz="4" w:space="0"/>
              <w:right w:val="single" w:color="auto" w:sz="4" w:space="0"/>
            </w:tcBorders>
            <w:shd w:val="clear" w:color="auto" w:fill="auto"/>
            <w:noWrap/>
            <w:vAlign w:val="center"/>
          </w:tcPr>
          <w:p w14:paraId="1E5F976D">
            <w:pPr>
              <w:widowControl/>
              <w:jc w:val="center"/>
              <w:rPr>
                <w:rFonts w:ascii="宋体" w:hAnsi="宋体"/>
                <w:b/>
                <w:bCs/>
                <w:kern w:val="0"/>
                <w:szCs w:val="21"/>
              </w:rPr>
            </w:pPr>
          </w:p>
        </w:tc>
      </w:tr>
      <w:tr w14:paraId="1FB93A46">
        <w:tblPrEx>
          <w:tblCellMar>
            <w:top w:w="0" w:type="dxa"/>
            <w:left w:w="108" w:type="dxa"/>
            <w:bottom w:w="0" w:type="dxa"/>
            <w:right w:w="108" w:type="dxa"/>
          </w:tblCellMar>
        </w:tblPrEx>
        <w:trPr>
          <w:trHeight w:val="342" w:hRule="atLeast"/>
          <w:jc w:val="center"/>
        </w:trPr>
        <w:tc>
          <w:tcPr>
            <w:tcW w:w="72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B56046">
            <w:pPr>
              <w:widowControl/>
              <w:jc w:val="center"/>
              <w:rPr>
                <w:rFonts w:ascii="宋体" w:hAnsi="宋体"/>
                <w:b/>
                <w:bCs/>
                <w:kern w:val="0"/>
                <w:szCs w:val="21"/>
              </w:rPr>
            </w:pPr>
          </w:p>
        </w:tc>
        <w:tc>
          <w:tcPr>
            <w:tcW w:w="3235" w:type="dxa"/>
            <w:tcBorders>
              <w:top w:val="single" w:color="auto" w:sz="4" w:space="0"/>
              <w:left w:val="nil"/>
              <w:bottom w:val="single" w:color="auto" w:sz="4" w:space="0"/>
              <w:right w:val="single" w:color="auto" w:sz="4" w:space="0"/>
            </w:tcBorders>
            <w:shd w:val="clear" w:color="auto" w:fill="auto"/>
            <w:noWrap/>
            <w:vAlign w:val="center"/>
          </w:tcPr>
          <w:p w14:paraId="09215B52">
            <w:pPr>
              <w:widowControl/>
              <w:jc w:val="center"/>
              <w:rPr>
                <w:rFonts w:ascii="宋体" w:hAnsi="宋体"/>
                <w:b/>
                <w:bCs/>
                <w:kern w:val="0"/>
                <w:szCs w:val="21"/>
              </w:rPr>
            </w:pPr>
          </w:p>
        </w:tc>
        <w:tc>
          <w:tcPr>
            <w:tcW w:w="2520" w:type="dxa"/>
            <w:tcBorders>
              <w:top w:val="single" w:color="auto" w:sz="4" w:space="0"/>
              <w:left w:val="nil"/>
              <w:bottom w:val="single" w:color="auto" w:sz="4" w:space="0"/>
              <w:right w:val="single" w:color="auto" w:sz="4" w:space="0"/>
            </w:tcBorders>
            <w:shd w:val="clear" w:color="auto" w:fill="auto"/>
            <w:vAlign w:val="center"/>
          </w:tcPr>
          <w:p w14:paraId="080EDD63">
            <w:pPr>
              <w:widowControl/>
              <w:jc w:val="center"/>
              <w:rPr>
                <w:rFonts w:ascii="宋体" w:hAnsi="宋体"/>
                <w:b/>
                <w:bCs/>
                <w:kern w:val="0"/>
                <w:szCs w:val="21"/>
              </w:rPr>
            </w:pPr>
          </w:p>
        </w:tc>
        <w:tc>
          <w:tcPr>
            <w:tcW w:w="1260" w:type="dxa"/>
            <w:tcBorders>
              <w:top w:val="single" w:color="auto" w:sz="4" w:space="0"/>
              <w:left w:val="nil"/>
              <w:bottom w:val="single" w:color="auto" w:sz="4" w:space="0"/>
              <w:right w:val="single" w:color="auto" w:sz="4" w:space="0"/>
            </w:tcBorders>
            <w:shd w:val="clear" w:color="auto" w:fill="auto"/>
            <w:noWrap/>
            <w:vAlign w:val="center"/>
          </w:tcPr>
          <w:p w14:paraId="0A9BF01D">
            <w:pPr>
              <w:widowControl/>
              <w:jc w:val="center"/>
              <w:rPr>
                <w:rFonts w:ascii="宋体" w:hAnsi="宋体"/>
                <w:b/>
                <w:bCs/>
                <w:kern w:val="0"/>
                <w:szCs w:val="21"/>
              </w:rPr>
            </w:pPr>
          </w:p>
        </w:tc>
        <w:tc>
          <w:tcPr>
            <w:tcW w:w="900" w:type="dxa"/>
            <w:tcBorders>
              <w:top w:val="single" w:color="auto" w:sz="4" w:space="0"/>
              <w:left w:val="nil"/>
              <w:bottom w:val="single" w:color="auto" w:sz="4" w:space="0"/>
              <w:right w:val="single" w:color="auto" w:sz="4" w:space="0"/>
            </w:tcBorders>
            <w:shd w:val="clear" w:color="auto" w:fill="auto"/>
            <w:noWrap/>
            <w:vAlign w:val="center"/>
          </w:tcPr>
          <w:p w14:paraId="77534EC1">
            <w:pPr>
              <w:widowControl/>
              <w:jc w:val="center"/>
              <w:rPr>
                <w:rFonts w:ascii="宋体" w:hAnsi="宋体" w:cs="宋体"/>
                <w:b/>
                <w:bCs/>
                <w:kern w:val="0"/>
                <w:szCs w:val="21"/>
              </w:rPr>
            </w:pPr>
          </w:p>
        </w:tc>
        <w:tc>
          <w:tcPr>
            <w:tcW w:w="1260" w:type="dxa"/>
            <w:tcBorders>
              <w:top w:val="single" w:color="auto" w:sz="4" w:space="0"/>
              <w:left w:val="nil"/>
              <w:bottom w:val="single" w:color="auto" w:sz="4" w:space="0"/>
              <w:right w:val="single" w:color="auto" w:sz="4" w:space="0"/>
            </w:tcBorders>
            <w:shd w:val="clear" w:color="auto" w:fill="auto"/>
            <w:noWrap/>
            <w:vAlign w:val="center"/>
          </w:tcPr>
          <w:p w14:paraId="6CEA9004">
            <w:pPr>
              <w:widowControl/>
              <w:jc w:val="center"/>
              <w:rPr>
                <w:rFonts w:ascii="宋体" w:hAnsi="宋体"/>
                <w:b/>
                <w:bCs/>
                <w:kern w:val="0"/>
                <w:szCs w:val="21"/>
              </w:rPr>
            </w:pPr>
          </w:p>
        </w:tc>
      </w:tr>
      <w:tr w14:paraId="70A9B94F">
        <w:tblPrEx>
          <w:tblCellMar>
            <w:top w:w="0" w:type="dxa"/>
            <w:left w:w="108" w:type="dxa"/>
            <w:bottom w:w="0" w:type="dxa"/>
            <w:right w:w="108" w:type="dxa"/>
          </w:tblCellMar>
        </w:tblPrEx>
        <w:trPr>
          <w:trHeight w:val="342" w:hRule="atLeast"/>
          <w:jc w:val="center"/>
        </w:trPr>
        <w:tc>
          <w:tcPr>
            <w:tcW w:w="72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40B009">
            <w:pPr>
              <w:widowControl/>
              <w:jc w:val="center"/>
              <w:rPr>
                <w:rFonts w:ascii="宋体" w:hAnsi="宋体"/>
                <w:b/>
                <w:bCs/>
                <w:kern w:val="0"/>
                <w:szCs w:val="21"/>
              </w:rPr>
            </w:pPr>
          </w:p>
        </w:tc>
        <w:tc>
          <w:tcPr>
            <w:tcW w:w="3235" w:type="dxa"/>
            <w:tcBorders>
              <w:top w:val="single" w:color="auto" w:sz="4" w:space="0"/>
              <w:left w:val="nil"/>
              <w:bottom w:val="single" w:color="auto" w:sz="4" w:space="0"/>
              <w:right w:val="single" w:color="auto" w:sz="4" w:space="0"/>
            </w:tcBorders>
            <w:shd w:val="clear" w:color="auto" w:fill="auto"/>
            <w:noWrap/>
            <w:vAlign w:val="center"/>
          </w:tcPr>
          <w:p w14:paraId="6640D65B">
            <w:pPr>
              <w:widowControl/>
              <w:jc w:val="center"/>
              <w:rPr>
                <w:rFonts w:ascii="宋体" w:hAnsi="宋体"/>
                <w:b/>
                <w:bCs/>
                <w:kern w:val="0"/>
                <w:szCs w:val="21"/>
              </w:rPr>
            </w:pPr>
          </w:p>
        </w:tc>
        <w:tc>
          <w:tcPr>
            <w:tcW w:w="2520" w:type="dxa"/>
            <w:tcBorders>
              <w:top w:val="single" w:color="auto" w:sz="4" w:space="0"/>
              <w:left w:val="nil"/>
              <w:bottom w:val="single" w:color="auto" w:sz="4" w:space="0"/>
              <w:right w:val="single" w:color="auto" w:sz="4" w:space="0"/>
            </w:tcBorders>
            <w:shd w:val="clear" w:color="auto" w:fill="auto"/>
            <w:vAlign w:val="center"/>
          </w:tcPr>
          <w:p w14:paraId="46AEC22E">
            <w:pPr>
              <w:widowControl/>
              <w:jc w:val="center"/>
              <w:rPr>
                <w:rFonts w:ascii="宋体" w:hAnsi="宋体"/>
                <w:b/>
                <w:bCs/>
                <w:kern w:val="0"/>
                <w:szCs w:val="21"/>
              </w:rPr>
            </w:pPr>
          </w:p>
        </w:tc>
        <w:tc>
          <w:tcPr>
            <w:tcW w:w="1260" w:type="dxa"/>
            <w:tcBorders>
              <w:top w:val="single" w:color="auto" w:sz="4" w:space="0"/>
              <w:left w:val="nil"/>
              <w:bottom w:val="single" w:color="auto" w:sz="4" w:space="0"/>
              <w:right w:val="single" w:color="auto" w:sz="4" w:space="0"/>
            </w:tcBorders>
            <w:shd w:val="clear" w:color="auto" w:fill="auto"/>
            <w:noWrap/>
            <w:vAlign w:val="center"/>
          </w:tcPr>
          <w:p w14:paraId="3D35CEF0">
            <w:pPr>
              <w:widowControl/>
              <w:jc w:val="center"/>
              <w:rPr>
                <w:rFonts w:ascii="宋体" w:hAnsi="宋体"/>
                <w:b/>
                <w:bCs/>
                <w:kern w:val="0"/>
                <w:szCs w:val="21"/>
              </w:rPr>
            </w:pPr>
          </w:p>
        </w:tc>
        <w:tc>
          <w:tcPr>
            <w:tcW w:w="900" w:type="dxa"/>
            <w:tcBorders>
              <w:top w:val="single" w:color="auto" w:sz="4" w:space="0"/>
              <w:left w:val="nil"/>
              <w:bottom w:val="single" w:color="auto" w:sz="4" w:space="0"/>
              <w:right w:val="single" w:color="auto" w:sz="4" w:space="0"/>
            </w:tcBorders>
            <w:shd w:val="clear" w:color="auto" w:fill="auto"/>
            <w:noWrap/>
            <w:vAlign w:val="center"/>
          </w:tcPr>
          <w:p w14:paraId="150E0DFD">
            <w:pPr>
              <w:widowControl/>
              <w:jc w:val="center"/>
              <w:rPr>
                <w:rFonts w:ascii="宋体" w:hAnsi="宋体" w:cs="宋体"/>
                <w:b/>
                <w:bCs/>
                <w:kern w:val="0"/>
                <w:szCs w:val="21"/>
              </w:rPr>
            </w:pPr>
          </w:p>
        </w:tc>
        <w:tc>
          <w:tcPr>
            <w:tcW w:w="1260" w:type="dxa"/>
            <w:tcBorders>
              <w:top w:val="single" w:color="auto" w:sz="4" w:space="0"/>
              <w:left w:val="nil"/>
              <w:bottom w:val="single" w:color="auto" w:sz="4" w:space="0"/>
              <w:right w:val="single" w:color="auto" w:sz="4" w:space="0"/>
            </w:tcBorders>
            <w:shd w:val="clear" w:color="auto" w:fill="auto"/>
            <w:noWrap/>
            <w:vAlign w:val="center"/>
          </w:tcPr>
          <w:p w14:paraId="6ECB442E">
            <w:pPr>
              <w:widowControl/>
              <w:jc w:val="center"/>
              <w:rPr>
                <w:rFonts w:ascii="宋体" w:hAnsi="宋体"/>
                <w:b/>
                <w:bCs/>
                <w:kern w:val="0"/>
                <w:szCs w:val="21"/>
              </w:rPr>
            </w:pPr>
          </w:p>
        </w:tc>
      </w:tr>
      <w:tr w14:paraId="2B6F9C4D">
        <w:tblPrEx>
          <w:tblCellMar>
            <w:top w:w="0" w:type="dxa"/>
            <w:left w:w="108" w:type="dxa"/>
            <w:bottom w:w="0" w:type="dxa"/>
            <w:right w:w="108" w:type="dxa"/>
          </w:tblCellMar>
        </w:tblPrEx>
        <w:trPr>
          <w:trHeight w:val="342" w:hRule="atLeast"/>
          <w:jc w:val="center"/>
        </w:trPr>
        <w:tc>
          <w:tcPr>
            <w:tcW w:w="72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35B2BB">
            <w:pPr>
              <w:widowControl/>
              <w:jc w:val="center"/>
              <w:rPr>
                <w:rFonts w:ascii="宋体" w:hAnsi="宋体"/>
                <w:b/>
                <w:bCs/>
                <w:kern w:val="0"/>
                <w:szCs w:val="21"/>
              </w:rPr>
            </w:pPr>
            <w:r>
              <w:rPr>
                <w:rFonts w:ascii="宋体" w:hAnsi="宋体"/>
                <w:b/>
                <w:bCs/>
                <w:kern w:val="0"/>
                <w:szCs w:val="21"/>
              </w:rPr>
              <w:t>…</w:t>
            </w:r>
          </w:p>
        </w:tc>
        <w:tc>
          <w:tcPr>
            <w:tcW w:w="3235" w:type="dxa"/>
            <w:tcBorders>
              <w:top w:val="single" w:color="auto" w:sz="4" w:space="0"/>
              <w:left w:val="nil"/>
              <w:bottom w:val="single" w:color="auto" w:sz="4" w:space="0"/>
              <w:right w:val="single" w:color="auto" w:sz="4" w:space="0"/>
            </w:tcBorders>
            <w:shd w:val="clear" w:color="auto" w:fill="auto"/>
            <w:noWrap/>
            <w:vAlign w:val="center"/>
          </w:tcPr>
          <w:p w14:paraId="264019FA">
            <w:pPr>
              <w:widowControl/>
              <w:jc w:val="center"/>
              <w:rPr>
                <w:rFonts w:ascii="宋体" w:hAnsi="宋体"/>
                <w:b/>
                <w:bCs/>
                <w:kern w:val="0"/>
                <w:szCs w:val="21"/>
              </w:rPr>
            </w:pPr>
          </w:p>
        </w:tc>
        <w:tc>
          <w:tcPr>
            <w:tcW w:w="2520" w:type="dxa"/>
            <w:tcBorders>
              <w:top w:val="single" w:color="auto" w:sz="4" w:space="0"/>
              <w:left w:val="nil"/>
              <w:bottom w:val="single" w:color="auto" w:sz="4" w:space="0"/>
              <w:right w:val="single" w:color="auto" w:sz="4" w:space="0"/>
            </w:tcBorders>
            <w:shd w:val="clear" w:color="auto" w:fill="auto"/>
            <w:vAlign w:val="center"/>
          </w:tcPr>
          <w:p w14:paraId="21A8BC2F">
            <w:pPr>
              <w:widowControl/>
              <w:jc w:val="center"/>
              <w:rPr>
                <w:rFonts w:ascii="宋体" w:hAnsi="宋体"/>
                <w:b/>
                <w:bCs/>
                <w:kern w:val="0"/>
                <w:szCs w:val="21"/>
              </w:rPr>
            </w:pPr>
          </w:p>
        </w:tc>
        <w:tc>
          <w:tcPr>
            <w:tcW w:w="1260" w:type="dxa"/>
            <w:tcBorders>
              <w:top w:val="single" w:color="auto" w:sz="4" w:space="0"/>
              <w:left w:val="nil"/>
              <w:bottom w:val="single" w:color="auto" w:sz="4" w:space="0"/>
              <w:right w:val="single" w:color="auto" w:sz="4" w:space="0"/>
            </w:tcBorders>
            <w:shd w:val="clear" w:color="auto" w:fill="auto"/>
            <w:noWrap/>
            <w:vAlign w:val="center"/>
          </w:tcPr>
          <w:p w14:paraId="31C64E6B">
            <w:pPr>
              <w:widowControl/>
              <w:jc w:val="center"/>
              <w:rPr>
                <w:rFonts w:ascii="宋体" w:hAnsi="宋体"/>
                <w:b/>
                <w:bCs/>
                <w:kern w:val="0"/>
                <w:szCs w:val="21"/>
              </w:rPr>
            </w:pPr>
          </w:p>
        </w:tc>
        <w:tc>
          <w:tcPr>
            <w:tcW w:w="900" w:type="dxa"/>
            <w:tcBorders>
              <w:top w:val="single" w:color="auto" w:sz="4" w:space="0"/>
              <w:left w:val="nil"/>
              <w:bottom w:val="single" w:color="auto" w:sz="4" w:space="0"/>
              <w:right w:val="single" w:color="auto" w:sz="4" w:space="0"/>
            </w:tcBorders>
            <w:shd w:val="clear" w:color="auto" w:fill="auto"/>
            <w:noWrap/>
            <w:vAlign w:val="center"/>
          </w:tcPr>
          <w:p w14:paraId="04001EAC">
            <w:pPr>
              <w:widowControl/>
              <w:jc w:val="center"/>
              <w:rPr>
                <w:rFonts w:ascii="宋体" w:hAnsi="宋体" w:cs="宋体"/>
                <w:b/>
                <w:bCs/>
                <w:kern w:val="0"/>
                <w:szCs w:val="21"/>
              </w:rPr>
            </w:pPr>
          </w:p>
        </w:tc>
        <w:tc>
          <w:tcPr>
            <w:tcW w:w="1260" w:type="dxa"/>
            <w:tcBorders>
              <w:top w:val="single" w:color="auto" w:sz="4" w:space="0"/>
              <w:left w:val="nil"/>
              <w:bottom w:val="single" w:color="auto" w:sz="4" w:space="0"/>
              <w:right w:val="single" w:color="auto" w:sz="4" w:space="0"/>
            </w:tcBorders>
            <w:shd w:val="clear" w:color="auto" w:fill="auto"/>
            <w:noWrap/>
            <w:vAlign w:val="center"/>
          </w:tcPr>
          <w:p w14:paraId="277476F7">
            <w:pPr>
              <w:widowControl/>
              <w:jc w:val="center"/>
              <w:rPr>
                <w:rFonts w:ascii="宋体" w:hAnsi="宋体"/>
                <w:b/>
                <w:bCs/>
                <w:kern w:val="0"/>
                <w:szCs w:val="21"/>
              </w:rPr>
            </w:pPr>
          </w:p>
        </w:tc>
      </w:tr>
    </w:tbl>
    <w:p w14:paraId="4E0340AF">
      <w:pPr>
        <w:rPr>
          <w:rFonts w:hint="eastAsia"/>
        </w:rPr>
      </w:pPr>
    </w:p>
    <w:p w14:paraId="419B10EA">
      <w:pPr>
        <w:rPr>
          <w:rFonts w:hint="eastAsia"/>
        </w:rPr>
      </w:pPr>
    </w:p>
    <w:p w14:paraId="4D120E73">
      <w:pPr>
        <w:rPr>
          <w:rFonts w:hint="eastAsia"/>
        </w:rPr>
      </w:pPr>
    </w:p>
    <w:p w14:paraId="0A9EDEED">
      <w:pPr>
        <w:rPr>
          <w:rFonts w:hint="eastAsia"/>
        </w:rPr>
      </w:pPr>
    </w:p>
    <w:p w14:paraId="2DF73B6B">
      <w:pPr>
        <w:rPr>
          <w:rFonts w:hint="eastAsia"/>
        </w:rPr>
      </w:pPr>
    </w:p>
    <w:p w14:paraId="4383C08A">
      <w:pPr>
        <w:rPr>
          <w:rFonts w:hint="eastAsia"/>
        </w:rPr>
      </w:pPr>
    </w:p>
    <w:p w14:paraId="661C095A">
      <w:pPr>
        <w:rPr>
          <w:rFonts w:hint="eastAsia"/>
        </w:rPr>
      </w:pPr>
    </w:p>
    <w:p w14:paraId="3E671381">
      <w:pPr>
        <w:rPr>
          <w:rFonts w:hint="eastAsia"/>
        </w:rPr>
      </w:pPr>
    </w:p>
    <w:p w14:paraId="3221797D">
      <w:pPr>
        <w:rPr>
          <w:rFonts w:hint="eastAsia"/>
        </w:rPr>
      </w:pPr>
    </w:p>
    <w:p w14:paraId="0B8BB2CE">
      <w:pPr>
        <w:rPr>
          <w:rFonts w:hint="eastAsia"/>
        </w:rPr>
      </w:pPr>
    </w:p>
    <w:p w14:paraId="6B2DE022">
      <w:pPr>
        <w:rPr>
          <w:rFonts w:hint="eastAsia"/>
        </w:rPr>
      </w:pPr>
    </w:p>
    <w:p w14:paraId="3A4454D4">
      <w:pPr>
        <w:rPr>
          <w:rFonts w:hint="eastAsia"/>
        </w:rPr>
      </w:pPr>
    </w:p>
    <w:p w14:paraId="7454C93E">
      <w:pPr>
        <w:rPr>
          <w:rFonts w:hint="eastAsia"/>
        </w:rPr>
      </w:pPr>
    </w:p>
    <w:p w14:paraId="47B62F24">
      <w:pPr>
        <w:rPr>
          <w:rFonts w:hint="eastAsia"/>
        </w:rPr>
      </w:pPr>
    </w:p>
    <w:p w14:paraId="3ED82D21">
      <w:pPr>
        <w:rPr>
          <w:rFonts w:hint="eastAsia"/>
        </w:rPr>
      </w:pPr>
    </w:p>
    <w:p w14:paraId="215F0E93">
      <w:pPr>
        <w:rPr>
          <w:rFonts w:hint="eastAsia"/>
        </w:rPr>
      </w:pPr>
    </w:p>
    <w:p w14:paraId="63868CF1">
      <w:pPr>
        <w:rPr>
          <w:rFonts w:hint="eastAsia"/>
        </w:rPr>
      </w:pPr>
    </w:p>
    <w:p w14:paraId="178F2B83">
      <w:pPr>
        <w:rPr>
          <w:rFonts w:hint="eastAsia"/>
        </w:rPr>
      </w:pPr>
    </w:p>
    <w:p w14:paraId="4EC9DA93">
      <w:pPr>
        <w:rPr>
          <w:rFonts w:hint="eastAsia"/>
        </w:rPr>
      </w:pPr>
    </w:p>
    <w:p w14:paraId="6E6AA9F5">
      <w:pPr>
        <w:rPr>
          <w:rFonts w:hint="eastAsia"/>
        </w:rPr>
      </w:pPr>
    </w:p>
    <w:p w14:paraId="282E3F19">
      <w:pPr>
        <w:rPr>
          <w:rFonts w:hint="eastAsia"/>
        </w:rPr>
      </w:pPr>
    </w:p>
    <w:p w14:paraId="722F095B">
      <w:pPr>
        <w:rPr>
          <w:rFonts w:hint="eastAsia"/>
        </w:rPr>
      </w:pPr>
    </w:p>
    <w:p w14:paraId="0DC94344">
      <w:pPr>
        <w:rPr>
          <w:rFonts w:hint="eastAsia"/>
        </w:rPr>
      </w:pPr>
    </w:p>
    <w:p w14:paraId="506C2C36">
      <w:pPr>
        <w:rPr>
          <w:rFonts w:hint="eastAsia"/>
        </w:rPr>
      </w:pPr>
    </w:p>
    <w:p w14:paraId="6FCBEAAF">
      <w:pPr>
        <w:rPr>
          <w:rFonts w:hint="eastAsia"/>
        </w:rPr>
      </w:pPr>
    </w:p>
    <w:p w14:paraId="0A627DE1">
      <w:pPr>
        <w:rPr>
          <w:rFonts w:hint="eastAsia"/>
        </w:rPr>
      </w:pPr>
    </w:p>
    <w:p w14:paraId="17755F88">
      <w:pPr>
        <w:spacing w:line="360" w:lineRule="auto"/>
        <w:ind w:firstLine="2702" w:firstLineChars="792"/>
        <w:rPr>
          <w:rFonts w:hint="eastAsia" w:eastAsia="黑体"/>
          <w:b/>
          <w:bCs/>
          <w:spacing w:val="20"/>
          <w:sz w:val="30"/>
          <w:szCs w:val="30"/>
        </w:rPr>
      </w:pPr>
      <w:r>
        <w:rPr>
          <w:rFonts w:hint="eastAsia" w:eastAsia="黑体"/>
          <w:b/>
          <w:bCs/>
          <w:spacing w:val="20"/>
          <w:sz w:val="30"/>
          <w:szCs w:val="30"/>
        </w:rPr>
        <w:t>复 印 设 备 租 赁 合 同</w:t>
      </w:r>
    </w:p>
    <w:p w14:paraId="7181A57F">
      <w:pPr>
        <w:ind w:left="5527" w:leftChars="2632" w:right="-2"/>
        <w:jc w:val="left"/>
        <w:rPr>
          <w:sz w:val="22"/>
        </w:rPr>
      </w:pPr>
      <w:r>
        <w:rPr>
          <w:bCs/>
          <w:sz w:val="24"/>
        </w:rPr>
        <w:t>甲方合同编号：</w:t>
      </w:r>
    </w:p>
    <w:p w14:paraId="72D507D1">
      <w:pPr>
        <w:spacing w:line="276" w:lineRule="auto"/>
        <w:ind w:left="5527" w:leftChars="2632" w:right="-2"/>
        <w:jc w:val="left"/>
        <w:rPr>
          <w:bCs/>
          <w:sz w:val="24"/>
        </w:rPr>
      </w:pPr>
      <w:r>
        <w:rPr>
          <w:bCs/>
          <w:sz w:val="24"/>
        </w:rPr>
        <w:t>乙方合同编号：</w:t>
      </w:r>
    </w:p>
    <w:p w14:paraId="12A659D8">
      <w:pPr>
        <w:spacing w:line="360" w:lineRule="auto"/>
        <w:rPr>
          <w:rFonts w:hint="eastAsia" w:ascii="宋体" w:hAnsi="宋体"/>
          <w:b/>
          <w:bCs/>
          <w:sz w:val="24"/>
        </w:rPr>
      </w:pPr>
      <w:r>
        <w:rPr>
          <w:rFonts w:hint="eastAsia" w:ascii="宋体" w:hAnsi="宋体"/>
          <w:b/>
          <w:bCs/>
          <w:sz w:val="24"/>
        </w:rPr>
        <w:t xml:space="preserve">甲方： </w:t>
      </w:r>
    </w:p>
    <w:p w14:paraId="7BD3F76A">
      <w:pPr>
        <w:adjustRightInd w:val="0"/>
        <w:snapToGrid w:val="0"/>
        <w:spacing w:after="312" w:afterLines="100" w:line="360" w:lineRule="auto"/>
        <w:rPr>
          <w:rFonts w:hint="eastAsia" w:ascii="宋体" w:hAnsi="宋体"/>
          <w:b/>
          <w:bCs/>
          <w:sz w:val="24"/>
        </w:rPr>
      </w:pPr>
      <w:r>
        <w:rPr>
          <w:rFonts w:hint="eastAsia" w:ascii="宋体" w:hAnsi="宋体"/>
          <w:b/>
          <w:bCs/>
          <w:sz w:val="24"/>
        </w:rPr>
        <w:t xml:space="preserve">乙方： </w:t>
      </w:r>
    </w:p>
    <w:p w14:paraId="554105BB">
      <w:pPr>
        <w:rPr>
          <w:rFonts w:hint="eastAsia" w:cs="宋体"/>
          <w:kern w:val="0"/>
          <w:szCs w:val="21"/>
        </w:rPr>
      </w:pPr>
    </w:p>
    <w:p w14:paraId="0D9D3838">
      <w:pPr>
        <w:adjustRightInd w:val="0"/>
        <w:snapToGrid w:val="0"/>
        <w:spacing w:line="360" w:lineRule="auto"/>
        <w:ind w:firstLine="420" w:firstLineChars="200"/>
        <w:rPr>
          <w:rFonts w:hint="eastAsia" w:cs="宋体"/>
          <w:kern w:val="0"/>
          <w:szCs w:val="21"/>
        </w:rPr>
      </w:pPr>
      <w:r>
        <w:rPr>
          <w:rFonts w:hint="eastAsia" w:cs="宋体"/>
          <w:kern w:val="0"/>
          <w:szCs w:val="21"/>
        </w:rPr>
        <w:t>甲乙双方根据《中华人民共和国民法典》及相关法律规定，就以下设备服务事宜，经协商一致，订立本合同：</w:t>
      </w:r>
    </w:p>
    <w:p w14:paraId="3EA1F727">
      <w:pPr>
        <w:adjustRightInd w:val="0"/>
        <w:snapToGrid w:val="0"/>
        <w:spacing w:before="156" w:beforeLines="50" w:line="360" w:lineRule="auto"/>
        <w:ind w:firstLine="422" w:firstLineChars="200"/>
        <w:rPr>
          <w:b/>
          <w:szCs w:val="21"/>
        </w:rPr>
      </w:pPr>
      <w:r>
        <w:rPr>
          <w:rFonts w:hAnsi="宋体"/>
          <w:b/>
          <w:szCs w:val="21"/>
        </w:rPr>
        <w:t>一、合同履行的时间为</w:t>
      </w:r>
      <w:r>
        <w:rPr>
          <w:rFonts w:hint="eastAsia" w:hAnsi="宋体"/>
          <w:b/>
          <w:szCs w:val="21"/>
        </w:rPr>
        <w:t xml:space="preserve"> </w:t>
      </w:r>
      <w:r>
        <w:rPr>
          <w:rFonts w:hint="eastAsia" w:hAnsi="宋体"/>
          <w:b/>
          <w:szCs w:val="21"/>
          <w:u w:val="single"/>
        </w:rPr>
        <w:t xml:space="preserve">     </w:t>
      </w:r>
      <w:r>
        <w:rPr>
          <w:rFonts w:hAnsi="宋体"/>
          <w:b/>
          <w:szCs w:val="21"/>
        </w:rPr>
        <w:t>年</w:t>
      </w:r>
      <w:r>
        <w:rPr>
          <w:rFonts w:hint="eastAsia"/>
          <w:b/>
          <w:szCs w:val="21"/>
          <w:u w:val="single"/>
        </w:rPr>
        <w:t xml:space="preserve">  </w:t>
      </w:r>
      <w:r>
        <w:rPr>
          <w:rFonts w:hAnsi="宋体"/>
          <w:b/>
          <w:szCs w:val="21"/>
        </w:rPr>
        <w:t>月</w:t>
      </w:r>
      <w:r>
        <w:rPr>
          <w:rFonts w:hint="eastAsia"/>
          <w:b/>
          <w:szCs w:val="21"/>
          <w:u w:val="single"/>
        </w:rPr>
        <w:t xml:space="preserve">   </w:t>
      </w:r>
      <w:r>
        <w:rPr>
          <w:rFonts w:hAnsi="宋体"/>
          <w:b/>
          <w:szCs w:val="21"/>
        </w:rPr>
        <w:t>日起至</w:t>
      </w:r>
      <w:r>
        <w:rPr>
          <w:rFonts w:hint="eastAsia"/>
          <w:b/>
          <w:szCs w:val="21"/>
          <w:u w:val="single"/>
        </w:rPr>
        <w:t xml:space="preserve">     </w:t>
      </w:r>
      <w:r>
        <w:rPr>
          <w:rFonts w:hAnsi="宋体"/>
          <w:b/>
          <w:szCs w:val="21"/>
        </w:rPr>
        <w:t>年</w:t>
      </w:r>
      <w:r>
        <w:rPr>
          <w:rFonts w:hint="eastAsia"/>
          <w:b/>
          <w:szCs w:val="21"/>
          <w:u w:val="single"/>
        </w:rPr>
        <w:t xml:space="preserve">   </w:t>
      </w:r>
      <w:r>
        <w:rPr>
          <w:rFonts w:hAnsi="宋体"/>
          <w:b/>
          <w:szCs w:val="21"/>
        </w:rPr>
        <w:t>月</w:t>
      </w:r>
      <w:r>
        <w:rPr>
          <w:rFonts w:hint="eastAsia"/>
          <w:b/>
          <w:szCs w:val="21"/>
          <w:u w:val="single"/>
        </w:rPr>
        <w:t xml:space="preserve">   </w:t>
      </w:r>
      <w:r>
        <w:rPr>
          <w:rFonts w:hAnsi="宋体"/>
          <w:b/>
          <w:szCs w:val="21"/>
        </w:rPr>
        <w:t>日止。</w:t>
      </w:r>
    </w:p>
    <w:p w14:paraId="76751F9B">
      <w:pPr>
        <w:adjustRightInd w:val="0"/>
        <w:snapToGrid w:val="0"/>
        <w:spacing w:before="156" w:beforeLines="50" w:line="360" w:lineRule="auto"/>
        <w:ind w:firstLine="422" w:firstLineChars="200"/>
        <w:rPr>
          <w:rFonts w:hAnsi="宋体"/>
          <w:b/>
          <w:szCs w:val="21"/>
        </w:rPr>
      </w:pPr>
      <w:r>
        <w:rPr>
          <w:rFonts w:hint="eastAsia" w:hAnsi="宋体"/>
          <w:b/>
          <w:szCs w:val="21"/>
        </w:rPr>
        <w:t>二、租赁清单</w:t>
      </w:r>
    </w:p>
    <w:tbl>
      <w:tblPr>
        <w:tblW w:w="999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450"/>
        <w:gridCol w:w="615"/>
        <w:gridCol w:w="600"/>
        <w:gridCol w:w="3510"/>
        <w:gridCol w:w="1080"/>
        <w:gridCol w:w="930"/>
        <w:gridCol w:w="840"/>
        <w:gridCol w:w="1080"/>
        <w:gridCol w:w="885"/>
      </w:tblGrid>
      <w:tr w14:paraId="4A236B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 w:hRule="atLeast"/>
        </w:trPr>
        <w:tc>
          <w:tcPr>
            <w:tcW w:w="450" w:type="dxa"/>
            <w:tcBorders>
              <w:top w:val="single" w:color="000000" w:sz="4" w:space="0"/>
              <w:left w:val="single" w:color="000000" w:sz="4" w:space="0"/>
              <w:bottom w:val="single" w:color="000000" w:sz="4" w:space="0"/>
              <w:right w:val="single" w:color="000000" w:sz="4" w:space="0"/>
            </w:tcBorders>
            <w:shd w:val="clear"/>
            <w:vAlign w:val="center"/>
          </w:tcPr>
          <w:p w14:paraId="4F689F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序号</w:t>
            </w:r>
          </w:p>
        </w:tc>
        <w:tc>
          <w:tcPr>
            <w:tcW w:w="615" w:type="dxa"/>
            <w:tcBorders>
              <w:top w:val="single" w:color="000000" w:sz="4" w:space="0"/>
              <w:left w:val="single" w:color="000000" w:sz="4" w:space="0"/>
              <w:bottom w:val="single" w:color="000000" w:sz="4" w:space="0"/>
              <w:right w:val="single" w:color="000000" w:sz="4" w:space="0"/>
            </w:tcBorders>
            <w:shd w:val="clear"/>
            <w:vAlign w:val="center"/>
          </w:tcPr>
          <w:p w14:paraId="590D78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机器型号</w:t>
            </w:r>
          </w:p>
        </w:tc>
        <w:tc>
          <w:tcPr>
            <w:tcW w:w="600" w:type="dxa"/>
            <w:tcBorders>
              <w:top w:val="single" w:color="000000" w:sz="4" w:space="0"/>
              <w:left w:val="single" w:color="000000" w:sz="4" w:space="0"/>
              <w:bottom w:val="single" w:color="000000" w:sz="4" w:space="0"/>
              <w:right w:val="single" w:color="000000" w:sz="4" w:space="0"/>
            </w:tcBorders>
            <w:shd w:val="clear"/>
            <w:vAlign w:val="center"/>
          </w:tcPr>
          <w:p w14:paraId="0E3CCE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品牌</w:t>
            </w:r>
          </w:p>
        </w:tc>
        <w:tc>
          <w:tcPr>
            <w:tcW w:w="3510" w:type="dxa"/>
            <w:tcBorders>
              <w:top w:val="single" w:color="000000" w:sz="4" w:space="0"/>
              <w:left w:val="single" w:color="000000" w:sz="4" w:space="0"/>
              <w:bottom w:val="single" w:color="000000" w:sz="4" w:space="0"/>
              <w:right w:val="single" w:color="000000" w:sz="4" w:space="0"/>
            </w:tcBorders>
            <w:shd w:val="clear"/>
            <w:vAlign w:val="center"/>
          </w:tcPr>
          <w:p w14:paraId="55FA64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机器功能</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14:paraId="025EFC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纸张</w:t>
            </w:r>
          </w:p>
        </w:tc>
        <w:tc>
          <w:tcPr>
            <w:tcW w:w="930" w:type="dxa"/>
            <w:tcBorders>
              <w:top w:val="single" w:color="000000" w:sz="4" w:space="0"/>
              <w:left w:val="single" w:color="000000" w:sz="4" w:space="0"/>
              <w:bottom w:val="single" w:color="000000" w:sz="4" w:space="0"/>
              <w:right w:val="single" w:color="000000" w:sz="4" w:space="0"/>
            </w:tcBorders>
            <w:shd w:val="clear"/>
            <w:vAlign w:val="center"/>
          </w:tcPr>
          <w:p w14:paraId="31C840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全年预估数量（面）</w:t>
            </w:r>
          </w:p>
        </w:tc>
        <w:tc>
          <w:tcPr>
            <w:tcW w:w="840" w:type="dxa"/>
            <w:tcBorders>
              <w:top w:val="single" w:color="000000" w:sz="4" w:space="0"/>
              <w:left w:val="single" w:color="000000" w:sz="4" w:space="0"/>
              <w:bottom w:val="single" w:color="000000" w:sz="4" w:space="0"/>
              <w:right w:val="single" w:color="000000" w:sz="4" w:space="0"/>
            </w:tcBorders>
            <w:shd w:val="clear"/>
            <w:vAlign w:val="center"/>
          </w:tcPr>
          <w:p w14:paraId="1EB984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单价（元/面）</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14:paraId="572DBB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预估金额（元）</w:t>
            </w:r>
          </w:p>
        </w:tc>
        <w:tc>
          <w:tcPr>
            <w:tcW w:w="885" w:type="dxa"/>
            <w:tcBorders>
              <w:top w:val="single" w:color="000000" w:sz="4" w:space="0"/>
              <w:left w:val="single" w:color="000000" w:sz="4" w:space="0"/>
              <w:bottom w:val="single" w:color="000000" w:sz="4" w:space="0"/>
              <w:right w:val="single" w:color="000000" w:sz="4" w:space="0"/>
            </w:tcBorders>
            <w:shd w:val="clear"/>
            <w:vAlign w:val="center"/>
          </w:tcPr>
          <w:p w14:paraId="1B7CC4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备注</w:t>
            </w:r>
          </w:p>
        </w:tc>
      </w:tr>
      <w:tr w14:paraId="058264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50" w:type="dxa"/>
            <w:vMerge w:val="restart"/>
            <w:tcBorders>
              <w:top w:val="single" w:color="000000" w:sz="4" w:space="0"/>
              <w:left w:val="single" w:color="000000" w:sz="4" w:space="0"/>
              <w:bottom w:val="single" w:color="000000" w:sz="4" w:space="0"/>
              <w:right w:val="single" w:color="000000" w:sz="4" w:space="0"/>
            </w:tcBorders>
            <w:shd w:val="clear"/>
            <w:vAlign w:val="center"/>
          </w:tcPr>
          <w:p w14:paraId="3A1351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615" w:type="dxa"/>
            <w:vMerge w:val="restart"/>
            <w:tcBorders>
              <w:top w:val="single" w:color="000000" w:sz="4" w:space="0"/>
              <w:left w:val="single" w:color="000000" w:sz="4" w:space="0"/>
              <w:bottom w:val="single" w:color="000000" w:sz="4" w:space="0"/>
              <w:right w:val="single" w:color="000000" w:sz="4" w:space="0"/>
            </w:tcBorders>
            <w:shd w:val="clear"/>
            <w:vAlign w:val="center"/>
          </w:tcPr>
          <w:p w14:paraId="629925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黑白机</w:t>
            </w:r>
          </w:p>
        </w:tc>
        <w:tc>
          <w:tcPr>
            <w:tcW w:w="600" w:type="dxa"/>
            <w:vMerge w:val="restart"/>
            <w:tcBorders>
              <w:top w:val="single" w:color="000000" w:sz="4" w:space="0"/>
              <w:left w:val="single" w:color="000000" w:sz="4" w:space="0"/>
              <w:bottom w:val="single" w:color="000000" w:sz="4" w:space="0"/>
              <w:right w:val="single" w:color="000000" w:sz="4" w:space="0"/>
            </w:tcBorders>
            <w:shd w:val="clear"/>
            <w:vAlign w:val="center"/>
          </w:tcPr>
          <w:p w14:paraId="355C40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佳能施乐</w:t>
            </w:r>
          </w:p>
        </w:tc>
        <w:tc>
          <w:tcPr>
            <w:tcW w:w="3510" w:type="dxa"/>
            <w:vMerge w:val="restart"/>
            <w:tcBorders>
              <w:top w:val="single" w:color="000000" w:sz="4" w:space="0"/>
              <w:left w:val="single" w:color="000000" w:sz="4" w:space="0"/>
              <w:bottom w:val="single" w:color="000000" w:sz="4" w:space="0"/>
              <w:right w:val="single" w:color="000000" w:sz="4" w:space="0"/>
            </w:tcBorders>
            <w:shd w:val="clear"/>
            <w:vAlign w:val="center"/>
          </w:tcPr>
          <w:p w14:paraId="5B1B36C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佳能、施乐数码打印机（最少8成次新机）：</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1、能够黑白打印复印单双面A3、A4；</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2、每分钟A4最少打印70张（其中一台每分钟95张以上）；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3、另含输稿器、网络打印、扫描功能270页/分钟、分页器。</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4、其他性能要求：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内存：标配5GB 固态硬盘：标配256GB</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快速启动模式：4秒以下；</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首页输出：2.7秒以下。</w:t>
            </w:r>
          </w:p>
        </w:tc>
        <w:tc>
          <w:tcPr>
            <w:tcW w:w="1080" w:type="dxa"/>
            <w:vMerge w:val="restart"/>
            <w:tcBorders>
              <w:top w:val="single" w:color="000000" w:sz="4" w:space="0"/>
              <w:left w:val="single" w:color="000000" w:sz="4" w:space="0"/>
              <w:bottom w:val="single" w:color="000000" w:sz="4" w:space="0"/>
              <w:right w:val="single" w:color="000000" w:sz="4" w:space="0"/>
            </w:tcBorders>
            <w:shd w:val="clear"/>
            <w:vAlign w:val="center"/>
          </w:tcPr>
          <w:p w14:paraId="12EE1A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A4纸</w:t>
            </w:r>
          </w:p>
        </w:tc>
        <w:tc>
          <w:tcPr>
            <w:tcW w:w="930" w:type="dxa"/>
            <w:vMerge w:val="restart"/>
            <w:tcBorders>
              <w:top w:val="single" w:color="000000" w:sz="4" w:space="0"/>
              <w:left w:val="single" w:color="000000" w:sz="4" w:space="0"/>
              <w:bottom w:val="single" w:color="000000" w:sz="4" w:space="0"/>
              <w:right w:val="single" w:color="000000" w:sz="4" w:space="0"/>
            </w:tcBorders>
            <w:shd w:val="clear"/>
            <w:vAlign w:val="center"/>
          </w:tcPr>
          <w:p w14:paraId="005309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3700000</w:t>
            </w:r>
          </w:p>
        </w:tc>
        <w:tc>
          <w:tcPr>
            <w:tcW w:w="840" w:type="dxa"/>
            <w:vMerge w:val="restart"/>
            <w:tcBorders>
              <w:top w:val="single" w:color="000000" w:sz="4" w:space="0"/>
              <w:left w:val="single" w:color="000000" w:sz="4" w:space="0"/>
              <w:bottom w:val="single" w:color="000000" w:sz="4" w:space="0"/>
              <w:right w:val="single" w:color="000000" w:sz="4" w:space="0"/>
            </w:tcBorders>
            <w:shd w:val="clear"/>
            <w:vAlign w:val="center"/>
          </w:tcPr>
          <w:p w14:paraId="4BC4CFE7">
            <w:pPr>
              <w:jc w:val="center"/>
              <w:rPr>
                <w:rFonts w:hint="eastAsia" w:ascii="宋体" w:hAnsi="宋体" w:eastAsia="宋体" w:cs="宋体"/>
                <w:i w:val="0"/>
                <w:iCs w:val="0"/>
                <w:color w:val="000000"/>
                <w:sz w:val="20"/>
                <w:szCs w:val="20"/>
                <w:u w:val="none"/>
              </w:rPr>
            </w:pPr>
          </w:p>
        </w:tc>
        <w:tc>
          <w:tcPr>
            <w:tcW w:w="1080" w:type="dxa"/>
            <w:vMerge w:val="restart"/>
            <w:tcBorders>
              <w:top w:val="single" w:color="000000" w:sz="4" w:space="0"/>
              <w:left w:val="single" w:color="000000" w:sz="4" w:space="0"/>
              <w:bottom w:val="single" w:color="000000" w:sz="4" w:space="0"/>
              <w:right w:val="single" w:color="000000" w:sz="4" w:space="0"/>
            </w:tcBorders>
            <w:shd w:val="clear"/>
            <w:vAlign w:val="center"/>
          </w:tcPr>
          <w:p w14:paraId="52C77612">
            <w:pPr>
              <w:jc w:val="center"/>
              <w:rPr>
                <w:rFonts w:hint="eastAsia" w:ascii="宋体" w:hAnsi="宋体" w:eastAsia="宋体" w:cs="宋体"/>
                <w:i w:val="0"/>
                <w:iCs w:val="0"/>
                <w:color w:val="000000"/>
                <w:sz w:val="20"/>
                <w:szCs w:val="20"/>
                <w:u w:val="none"/>
              </w:rPr>
            </w:pPr>
          </w:p>
        </w:tc>
        <w:tc>
          <w:tcPr>
            <w:tcW w:w="885" w:type="dxa"/>
            <w:vMerge w:val="restart"/>
            <w:tcBorders>
              <w:top w:val="single" w:color="000000" w:sz="4" w:space="0"/>
              <w:left w:val="single" w:color="000000" w:sz="4" w:space="0"/>
              <w:bottom w:val="single" w:color="000000" w:sz="4" w:space="0"/>
              <w:right w:val="single" w:color="000000" w:sz="4" w:space="0"/>
            </w:tcBorders>
            <w:shd w:val="clear"/>
            <w:vAlign w:val="center"/>
          </w:tcPr>
          <w:p w14:paraId="6C9E6A4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租赁3台黑白打印机</w:t>
            </w:r>
          </w:p>
        </w:tc>
      </w:tr>
      <w:tr w14:paraId="5B11AC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84CC0AA">
            <w:pPr>
              <w:jc w:val="center"/>
              <w:rPr>
                <w:rFonts w:hint="eastAsia" w:ascii="宋体" w:hAnsi="宋体" w:eastAsia="宋体" w:cs="宋体"/>
                <w:i w:val="0"/>
                <w:iCs w:val="0"/>
                <w:color w:val="000000"/>
                <w:sz w:val="20"/>
                <w:szCs w:val="20"/>
                <w:u w:val="none"/>
              </w:rPr>
            </w:pPr>
          </w:p>
        </w:tc>
        <w:tc>
          <w:tcPr>
            <w:tcW w:w="615" w:type="dxa"/>
            <w:vMerge w:val="continue"/>
            <w:tcBorders>
              <w:top w:val="single" w:color="000000" w:sz="4" w:space="0"/>
              <w:left w:val="single" w:color="000000" w:sz="4" w:space="0"/>
              <w:bottom w:val="single" w:color="000000" w:sz="4" w:space="0"/>
              <w:right w:val="single" w:color="000000" w:sz="4" w:space="0"/>
            </w:tcBorders>
            <w:shd w:val="clear"/>
            <w:vAlign w:val="center"/>
          </w:tcPr>
          <w:p w14:paraId="2F8669F1">
            <w:pPr>
              <w:jc w:val="center"/>
              <w:rPr>
                <w:rFonts w:hint="eastAsia" w:ascii="宋体" w:hAnsi="宋体" w:eastAsia="宋体" w:cs="宋体"/>
                <w:i w:val="0"/>
                <w:iCs w:val="0"/>
                <w:color w:val="000000"/>
                <w:sz w:val="20"/>
                <w:szCs w:val="20"/>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1C0C096">
            <w:pPr>
              <w:jc w:val="center"/>
              <w:rPr>
                <w:rFonts w:hint="eastAsia" w:ascii="宋体" w:hAnsi="宋体" w:eastAsia="宋体" w:cs="宋体"/>
                <w:i w:val="0"/>
                <w:iCs w:val="0"/>
                <w:color w:val="000000"/>
                <w:sz w:val="20"/>
                <w:szCs w:val="20"/>
                <w:u w:val="none"/>
              </w:rPr>
            </w:pPr>
          </w:p>
        </w:tc>
        <w:tc>
          <w:tcPr>
            <w:tcW w:w="351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6195729B">
            <w:pPr>
              <w:jc w:val="left"/>
              <w:rPr>
                <w:rFonts w:hint="eastAsia" w:ascii="宋体" w:hAnsi="宋体" w:eastAsia="宋体" w:cs="宋体"/>
                <w:i w:val="0"/>
                <w:iCs w:val="0"/>
                <w:color w:val="000000"/>
                <w:sz w:val="20"/>
                <w:szCs w:val="20"/>
                <w:u w:val="none"/>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6D92E9B7">
            <w:pPr>
              <w:jc w:val="center"/>
              <w:rPr>
                <w:rFonts w:hint="eastAsia" w:ascii="宋体" w:hAnsi="宋体" w:eastAsia="宋体" w:cs="宋体"/>
                <w:i w:val="0"/>
                <w:iCs w:val="0"/>
                <w:color w:val="000000"/>
                <w:sz w:val="20"/>
                <w:szCs w:val="20"/>
                <w:u w:val="none"/>
              </w:rPr>
            </w:pPr>
          </w:p>
        </w:tc>
        <w:tc>
          <w:tcPr>
            <w:tcW w:w="93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02DFFEBD">
            <w:pPr>
              <w:jc w:val="center"/>
              <w:rPr>
                <w:rFonts w:hint="eastAsia" w:ascii="宋体" w:hAnsi="宋体" w:eastAsia="宋体" w:cs="宋体"/>
                <w:i w:val="0"/>
                <w:iCs w:val="0"/>
                <w:color w:val="000000"/>
                <w:sz w:val="20"/>
                <w:szCs w:val="20"/>
                <w:u w:val="none"/>
              </w:rPr>
            </w:pPr>
          </w:p>
        </w:tc>
        <w:tc>
          <w:tcPr>
            <w:tcW w:w="84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A5B2C0E">
            <w:pPr>
              <w:jc w:val="center"/>
              <w:rPr>
                <w:rFonts w:hint="eastAsia" w:ascii="宋体" w:hAnsi="宋体" w:eastAsia="宋体" w:cs="宋体"/>
                <w:i w:val="0"/>
                <w:iCs w:val="0"/>
                <w:color w:val="000000"/>
                <w:sz w:val="20"/>
                <w:szCs w:val="20"/>
                <w:u w:val="none"/>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6D0BE02">
            <w:pPr>
              <w:jc w:val="center"/>
              <w:rPr>
                <w:rFonts w:hint="eastAsia" w:ascii="宋体" w:hAnsi="宋体" w:eastAsia="宋体" w:cs="宋体"/>
                <w:i w:val="0"/>
                <w:iCs w:val="0"/>
                <w:color w:val="000000"/>
                <w:sz w:val="20"/>
                <w:szCs w:val="20"/>
                <w:u w:val="none"/>
              </w:rPr>
            </w:pPr>
          </w:p>
        </w:tc>
        <w:tc>
          <w:tcPr>
            <w:tcW w:w="885"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C506FF7">
            <w:pPr>
              <w:jc w:val="left"/>
              <w:rPr>
                <w:rFonts w:hint="eastAsia" w:ascii="宋体" w:hAnsi="宋体" w:eastAsia="宋体" w:cs="宋体"/>
                <w:i w:val="0"/>
                <w:iCs w:val="0"/>
                <w:color w:val="000000"/>
                <w:sz w:val="20"/>
                <w:szCs w:val="20"/>
                <w:u w:val="none"/>
              </w:rPr>
            </w:pPr>
          </w:p>
        </w:tc>
      </w:tr>
      <w:tr w14:paraId="610BD9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245A6A63">
            <w:pPr>
              <w:jc w:val="center"/>
              <w:rPr>
                <w:rFonts w:hint="eastAsia" w:ascii="宋体" w:hAnsi="宋体" w:eastAsia="宋体" w:cs="宋体"/>
                <w:i w:val="0"/>
                <w:iCs w:val="0"/>
                <w:color w:val="000000"/>
                <w:sz w:val="20"/>
                <w:szCs w:val="20"/>
                <w:u w:val="none"/>
              </w:rPr>
            </w:pPr>
          </w:p>
        </w:tc>
        <w:tc>
          <w:tcPr>
            <w:tcW w:w="615" w:type="dxa"/>
            <w:vMerge w:val="continue"/>
            <w:tcBorders>
              <w:top w:val="single" w:color="000000" w:sz="4" w:space="0"/>
              <w:left w:val="single" w:color="000000" w:sz="4" w:space="0"/>
              <w:bottom w:val="single" w:color="000000" w:sz="4" w:space="0"/>
              <w:right w:val="single" w:color="000000" w:sz="4" w:space="0"/>
            </w:tcBorders>
            <w:shd w:val="clear"/>
            <w:vAlign w:val="center"/>
          </w:tcPr>
          <w:p w14:paraId="5E76E94F">
            <w:pPr>
              <w:jc w:val="center"/>
              <w:rPr>
                <w:rFonts w:hint="eastAsia" w:ascii="宋体" w:hAnsi="宋体" w:eastAsia="宋体" w:cs="宋体"/>
                <w:i w:val="0"/>
                <w:iCs w:val="0"/>
                <w:color w:val="000000"/>
                <w:sz w:val="20"/>
                <w:szCs w:val="20"/>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661E2B8F">
            <w:pPr>
              <w:jc w:val="center"/>
              <w:rPr>
                <w:rFonts w:hint="eastAsia" w:ascii="宋体" w:hAnsi="宋体" w:eastAsia="宋体" w:cs="宋体"/>
                <w:i w:val="0"/>
                <w:iCs w:val="0"/>
                <w:color w:val="000000"/>
                <w:sz w:val="20"/>
                <w:szCs w:val="20"/>
                <w:u w:val="none"/>
              </w:rPr>
            </w:pPr>
          </w:p>
        </w:tc>
        <w:tc>
          <w:tcPr>
            <w:tcW w:w="351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0631B99F">
            <w:pPr>
              <w:jc w:val="left"/>
              <w:rPr>
                <w:rFonts w:hint="eastAsia" w:ascii="宋体" w:hAnsi="宋体" w:eastAsia="宋体" w:cs="宋体"/>
                <w:i w:val="0"/>
                <w:iCs w:val="0"/>
                <w:color w:val="000000"/>
                <w:sz w:val="20"/>
                <w:szCs w:val="20"/>
                <w:u w:val="none"/>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641FDD7E">
            <w:pPr>
              <w:jc w:val="center"/>
              <w:rPr>
                <w:rFonts w:hint="eastAsia" w:ascii="宋体" w:hAnsi="宋体" w:eastAsia="宋体" w:cs="宋体"/>
                <w:i w:val="0"/>
                <w:iCs w:val="0"/>
                <w:color w:val="000000"/>
                <w:sz w:val="20"/>
                <w:szCs w:val="20"/>
                <w:u w:val="none"/>
              </w:rPr>
            </w:pPr>
          </w:p>
        </w:tc>
        <w:tc>
          <w:tcPr>
            <w:tcW w:w="93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65D361B8">
            <w:pPr>
              <w:jc w:val="center"/>
              <w:rPr>
                <w:rFonts w:hint="eastAsia" w:ascii="宋体" w:hAnsi="宋体" w:eastAsia="宋体" w:cs="宋体"/>
                <w:i w:val="0"/>
                <w:iCs w:val="0"/>
                <w:color w:val="000000"/>
                <w:sz w:val="20"/>
                <w:szCs w:val="20"/>
                <w:u w:val="none"/>
              </w:rPr>
            </w:pPr>
          </w:p>
        </w:tc>
        <w:tc>
          <w:tcPr>
            <w:tcW w:w="84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35920C8">
            <w:pPr>
              <w:jc w:val="center"/>
              <w:rPr>
                <w:rFonts w:hint="eastAsia" w:ascii="宋体" w:hAnsi="宋体" w:eastAsia="宋体" w:cs="宋体"/>
                <w:i w:val="0"/>
                <w:iCs w:val="0"/>
                <w:color w:val="000000"/>
                <w:sz w:val="20"/>
                <w:szCs w:val="20"/>
                <w:u w:val="none"/>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2A8C5055">
            <w:pPr>
              <w:jc w:val="center"/>
              <w:rPr>
                <w:rFonts w:hint="eastAsia" w:ascii="宋体" w:hAnsi="宋体" w:eastAsia="宋体" w:cs="宋体"/>
                <w:i w:val="0"/>
                <w:iCs w:val="0"/>
                <w:color w:val="000000"/>
                <w:sz w:val="20"/>
                <w:szCs w:val="20"/>
                <w:u w:val="none"/>
              </w:rPr>
            </w:pPr>
          </w:p>
        </w:tc>
        <w:tc>
          <w:tcPr>
            <w:tcW w:w="885" w:type="dxa"/>
            <w:vMerge w:val="continue"/>
            <w:tcBorders>
              <w:top w:val="single" w:color="000000" w:sz="4" w:space="0"/>
              <w:left w:val="single" w:color="000000" w:sz="4" w:space="0"/>
              <w:bottom w:val="single" w:color="000000" w:sz="4" w:space="0"/>
              <w:right w:val="single" w:color="000000" w:sz="4" w:space="0"/>
            </w:tcBorders>
            <w:shd w:val="clear"/>
            <w:vAlign w:val="center"/>
          </w:tcPr>
          <w:p w14:paraId="767DD437">
            <w:pPr>
              <w:jc w:val="left"/>
              <w:rPr>
                <w:rFonts w:hint="eastAsia" w:ascii="宋体" w:hAnsi="宋体" w:eastAsia="宋体" w:cs="宋体"/>
                <w:i w:val="0"/>
                <w:iCs w:val="0"/>
                <w:color w:val="000000"/>
                <w:sz w:val="20"/>
                <w:szCs w:val="20"/>
                <w:u w:val="none"/>
              </w:rPr>
            </w:pPr>
          </w:p>
        </w:tc>
      </w:tr>
      <w:tr w14:paraId="6286E7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7755EE85">
            <w:pPr>
              <w:jc w:val="center"/>
              <w:rPr>
                <w:rFonts w:hint="eastAsia" w:ascii="宋体" w:hAnsi="宋体" w:eastAsia="宋体" w:cs="宋体"/>
                <w:i w:val="0"/>
                <w:iCs w:val="0"/>
                <w:color w:val="000000"/>
                <w:sz w:val="20"/>
                <w:szCs w:val="20"/>
                <w:u w:val="none"/>
              </w:rPr>
            </w:pPr>
          </w:p>
        </w:tc>
        <w:tc>
          <w:tcPr>
            <w:tcW w:w="615" w:type="dxa"/>
            <w:vMerge w:val="continue"/>
            <w:tcBorders>
              <w:top w:val="single" w:color="000000" w:sz="4" w:space="0"/>
              <w:left w:val="single" w:color="000000" w:sz="4" w:space="0"/>
              <w:bottom w:val="single" w:color="000000" w:sz="4" w:space="0"/>
              <w:right w:val="single" w:color="000000" w:sz="4" w:space="0"/>
            </w:tcBorders>
            <w:shd w:val="clear"/>
            <w:vAlign w:val="center"/>
          </w:tcPr>
          <w:p w14:paraId="56A37C88">
            <w:pPr>
              <w:jc w:val="center"/>
              <w:rPr>
                <w:rFonts w:hint="eastAsia" w:ascii="宋体" w:hAnsi="宋体" w:eastAsia="宋体" w:cs="宋体"/>
                <w:i w:val="0"/>
                <w:iCs w:val="0"/>
                <w:color w:val="000000"/>
                <w:sz w:val="20"/>
                <w:szCs w:val="20"/>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7DB4876A">
            <w:pPr>
              <w:jc w:val="center"/>
              <w:rPr>
                <w:rFonts w:hint="eastAsia" w:ascii="宋体" w:hAnsi="宋体" w:eastAsia="宋体" w:cs="宋体"/>
                <w:i w:val="0"/>
                <w:iCs w:val="0"/>
                <w:color w:val="000000"/>
                <w:sz w:val="20"/>
                <w:szCs w:val="20"/>
                <w:u w:val="none"/>
              </w:rPr>
            </w:pPr>
          </w:p>
        </w:tc>
        <w:tc>
          <w:tcPr>
            <w:tcW w:w="351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837C946">
            <w:pPr>
              <w:jc w:val="left"/>
              <w:rPr>
                <w:rFonts w:hint="eastAsia" w:ascii="宋体" w:hAnsi="宋体" w:eastAsia="宋体" w:cs="宋体"/>
                <w:i w:val="0"/>
                <w:iCs w:val="0"/>
                <w:color w:val="000000"/>
                <w:sz w:val="20"/>
                <w:szCs w:val="20"/>
                <w:u w:val="none"/>
              </w:rPr>
            </w:pPr>
          </w:p>
        </w:tc>
        <w:tc>
          <w:tcPr>
            <w:tcW w:w="1080" w:type="dxa"/>
            <w:vMerge w:val="restart"/>
            <w:tcBorders>
              <w:top w:val="single" w:color="000000" w:sz="4" w:space="0"/>
              <w:left w:val="single" w:color="000000" w:sz="4" w:space="0"/>
              <w:bottom w:val="single" w:color="000000" w:sz="4" w:space="0"/>
              <w:right w:val="single" w:color="000000" w:sz="4" w:space="0"/>
            </w:tcBorders>
            <w:shd w:val="clear"/>
            <w:vAlign w:val="center"/>
          </w:tcPr>
          <w:p w14:paraId="584305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A3纸</w:t>
            </w:r>
          </w:p>
        </w:tc>
        <w:tc>
          <w:tcPr>
            <w:tcW w:w="930" w:type="dxa"/>
            <w:vMerge w:val="restart"/>
            <w:tcBorders>
              <w:top w:val="single" w:color="000000" w:sz="4" w:space="0"/>
              <w:left w:val="single" w:color="000000" w:sz="4" w:space="0"/>
              <w:bottom w:val="single" w:color="000000" w:sz="4" w:space="0"/>
              <w:right w:val="single" w:color="000000" w:sz="4" w:space="0"/>
            </w:tcBorders>
            <w:shd w:val="clear"/>
            <w:vAlign w:val="center"/>
          </w:tcPr>
          <w:p w14:paraId="412CB1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280000</w:t>
            </w:r>
          </w:p>
        </w:tc>
        <w:tc>
          <w:tcPr>
            <w:tcW w:w="840" w:type="dxa"/>
            <w:vMerge w:val="restart"/>
            <w:tcBorders>
              <w:top w:val="single" w:color="000000" w:sz="4" w:space="0"/>
              <w:left w:val="single" w:color="000000" w:sz="4" w:space="0"/>
              <w:bottom w:val="single" w:color="000000" w:sz="4" w:space="0"/>
              <w:right w:val="single" w:color="000000" w:sz="4" w:space="0"/>
            </w:tcBorders>
            <w:shd w:val="clear"/>
            <w:vAlign w:val="center"/>
          </w:tcPr>
          <w:p w14:paraId="5F4FFC14">
            <w:pPr>
              <w:jc w:val="center"/>
              <w:rPr>
                <w:rFonts w:hint="eastAsia" w:ascii="宋体" w:hAnsi="宋体" w:eastAsia="宋体" w:cs="宋体"/>
                <w:i w:val="0"/>
                <w:iCs w:val="0"/>
                <w:color w:val="000000"/>
                <w:sz w:val="20"/>
                <w:szCs w:val="20"/>
                <w:u w:val="none"/>
              </w:rPr>
            </w:pPr>
          </w:p>
        </w:tc>
        <w:tc>
          <w:tcPr>
            <w:tcW w:w="1080" w:type="dxa"/>
            <w:vMerge w:val="restart"/>
            <w:tcBorders>
              <w:top w:val="single" w:color="000000" w:sz="4" w:space="0"/>
              <w:left w:val="single" w:color="000000" w:sz="4" w:space="0"/>
              <w:bottom w:val="single" w:color="000000" w:sz="4" w:space="0"/>
              <w:right w:val="single" w:color="000000" w:sz="4" w:space="0"/>
            </w:tcBorders>
            <w:shd w:val="clear"/>
            <w:vAlign w:val="center"/>
          </w:tcPr>
          <w:p w14:paraId="1CB69C30">
            <w:pPr>
              <w:jc w:val="center"/>
              <w:rPr>
                <w:rFonts w:hint="eastAsia" w:ascii="宋体" w:hAnsi="宋体" w:eastAsia="宋体" w:cs="宋体"/>
                <w:i w:val="0"/>
                <w:iCs w:val="0"/>
                <w:color w:val="000000"/>
                <w:sz w:val="20"/>
                <w:szCs w:val="20"/>
                <w:u w:val="none"/>
              </w:rPr>
            </w:pPr>
          </w:p>
        </w:tc>
        <w:tc>
          <w:tcPr>
            <w:tcW w:w="885" w:type="dxa"/>
            <w:vMerge w:val="continue"/>
            <w:tcBorders>
              <w:top w:val="single" w:color="000000" w:sz="4" w:space="0"/>
              <w:left w:val="single" w:color="000000" w:sz="4" w:space="0"/>
              <w:bottom w:val="single" w:color="000000" w:sz="4" w:space="0"/>
              <w:right w:val="single" w:color="000000" w:sz="4" w:space="0"/>
            </w:tcBorders>
            <w:shd w:val="clear"/>
            <w:vAlign w:val="center"/>
          </w:tcPr>
          <w:p w14:paraId="6D1B3CB7">
            <w:pPr>
              <w:jc w:val="left"/>
              <w:rPr>
                <w:rFonts w:hint="eastAsia" w:ascii="宋体" w:hAnsi="宋体" w:eastAsia="宋体" w:cs="宋体"/>
                <w:i w:val="0"/>
                <w:iCs w:val="0"/>
                <w:color w:val="000000"/>
                <w:sz w:val="20"/>
                <w:szCs w:val="20"/>
                <w:u w:val="none"/>
              </w:rPr>
            </w:pPr>
          </w:p>
        </w:tc>
      </w:tr>
      <w:tr w14:paraId="386B0A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2DEA1265">
            <w:pPr>
              <w:jc w:val="center"/>
              <w:rPr>
                <w:rFonts w:hint="eastAsia" w:ascii="宋体" w:hAnsi="宋体" w:eastAsia="宋体" w:cs="宋体"/>
                <w:i w:val="0"/>
                <w:iCs w:val="0"/>
                <w:color w:val="000000"/>
                <w:sz w:val="20"/>
                <w:szCs w:val="20"/>
                <w:u w:val="none"/>
              </w:rPr>
            </w:pPr>
          </w:p>
        </w:tc>
        <w:tc>
          <w:tcPr>
            <w:tcW w:w="615"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D13B287">
            <w:pPr>
              <w:jc w:val="center"/>
              <w:rPr>
                <w:rFonts w:hint="eastAsia" w:ascii="宋体" w:hAnsi="宋体" w:eastAsia="宋体" w:cs="宋体"/>
                <w:i w:val="0"/>
                <w:iCs w:val="0"/>
                <w:color w:val="000000"/>
                <w:sz w:val="20"/>
                <w:szCs w:val="20"/>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27119BE2">
            <w:pPr>
              <w:jc w:val="center"/>
              <w:rPr>
                <w:rFonts w:hint="eastAsia" w:ascii="宋体" w:hAnsi="宋体" w:eastAsia="宋体" w:cs="宋体"/>
                <w:i w:val="0"/>
                <w:iCs w:val="0"/>
                <w:color w:val="000000"/>
                <w:sz w:val="20"/>
                <w:szCs w:val="20"/>
                <w:u w:val="none"/>
              </w:rPr>
            </w:pPr>
          </w:p>
        </w:tc>
        <w:tc>
          <w:tcPr>
            <w:tcW w:w="351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6B809BF0">
            <w:pPr>
              <w:jc w:val="left"/>
              <w:rPr>
                <w:rFonts w:hint="eastAsia" w:ascii="宋体" w:hAnsi="宋体" w:eastAsia="宋体" w:cs="宋体"/>
                <w:i w:val="0"/>
                <w:iCs w:val="0"/>
                <w:color w:val="000000"/>
                <w:sz w:val="20"/>
                <w:szCs w:val="20"/>
                <w:u w:val="none"/>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5F38DB1E">
            <w:pPr>
              <w:jc w:val="center"/>
              <w:rPr>
                <w:rFonts w:hint="eastAsia" w:ascii="宋体" w:hAnsi="宋体" w:eastAsia="宋体" w:cs="宋体"/>
                <w:i w:val="0"/>
                <w:iCs w:val="0"/>
                <w:color w:val="000000"/>
                <w:sz w:val="20"/>
                <w:szCs w:val="20"/>
                <w:u w:val="none"/>
              </w:rPr>
            </w:pPr>
          </w:p>
        </w:tc>
        <w:tc>
          <w:tcPr>
            <w:tcW w:w="93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1CC496E">
            <w:pPr>
              <w:jc w:val="center"/>
              <w:rPr>
                <w:rFonts w:hint="eastAsia" w:ascii="宋体" w:hAnsi="宋体" w:eastAsia="宋体" w:cs="宋体"/>
                <w:i w:val="0"/>
                <w:iCs w:val="0"/>
                <w:color w:val="000000"/>
                <w:sz w:val="20"/>
                <w:szCs w:val="20"/>
                <w:u w:val="none"/>
              </w:rPr>
            </w:pPr>
          </w:p>
        </w:tc>
        <w:tc>
          <w:tcPr>
            <w:tcW w:w="84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17AE00E4">
            <w:pPr>
              <w:jc w:val="center"/>
              <w:rPr>
                <w:rFonts w:hint="eastAsia" w:ascii="宋体" w:hAnsi="宋体" w:eastAsia="宋体" w:cs="宋体"/>
                <w:i w:val="0"/>
                <w:iCs w:val="0"/>
                <w:color w:val="000000"/>
                <w:sz w:val="20"/>
                <w:szCs w:val="20"/>
                <w:u w:val="none"/>
              </w:rPr>
            </w:pPr>
          </w:p>
        </w:tc>
        <w:tc>
          <w:tcPr>
            <w:tcW w:w="108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7D35BCD5">
            <w:pPr>
              <w:jc w:val="center"/>
              <w:rPr>
                <w:rFonts w:hint="eastAsia" w:ascii="宋体" w:hAnsi="宋体" w:eastAsia="宋体" w:cs="宋体"/>
                <w:i w:val="0"/>
                <w:iCs w:val="0"/>
                <w:color w:val="000000"/>
                <w:sz w:val="20"/>
                <w:szCs w:val="20"/>
                <w:u w:val="none"/>
              </w:rPr>
            </w:pPr>
          </w:p>
        </w:tc>
        <w:tc>
          <w:tcPr>
            <w:tcW w:w="885"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F2FE996">
            <w:pPr>
              <w:jc w:val="left"/>
              <w:rPr>
                <w:rFonts w:hint="eastAsia" w:ascii="宋体" w:hAnsi="宋体" w:eastAsia="宋体" w:cs="宋体"/>
                <w:i w:val="0"/>
                <w:iCs w:val="0"/>
                <w:color w:val="000000"/>
                <w:sz w:val="20"/>
                <w:szCs w:val="20"/>
                <w:u w:val="none"/>
              </w:rPr>
            </w:pPr>
          </w:p>
        </w:tc>
      </w:tr>
      <w:tr w14:paraId="099ACA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450" w:type="dxa"/>
            <w:vMerge w:val="restart"/>
            <w:tcBorders>
              <w:top w:val="single" w:color="000000" w:sz="4" w:space="0"/>
              <w:left w:val="single" w:color="000000" w:sz="4" w:space="0"/>
              <w:bottom w:val="single" w:color="000000" w:sz="4" w:space="0"/>
              <w:right w:val="single" w:color="000000" w:sz="4" w:space="0"/>
            </w:tcBorders>
            <w:shd w:val="clear"/>
            <w:vAlign w:val="center"/>
          </w:tcPr>
          <w:p w14:paraId="0E2284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615" w:type="dxa"/>
            <w:vMerge w:val="restart"/>
            <w:tcBorders>
              <w:top w:val="single" w:color="000000" w:sz="4" w:space="0"/>
              <w:left w:val="single" w:color="000000" w:sz="4" w:space="0"/>
              <w:bottom w:val="single" w:color="000000" w:sz="4" w:space="0"/>
              <w:right w:val="single" w:color="000000" w:sz="4" w:space="0"/>
            </w:tcBorders>
            <w:shd w:val="clear"/>
            <w:vAlign w:val="center"/>
          </w:tcPr>
          <w:p w14:paraId="5B4F34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彩机</w:t>
            </w:r>
          </w:p>
        </w:tc>
        <w:tc>
          <w:tcPr>
            <w:tcW w:w="600" w:type="dxa"/>
            <w:vMerge w:val="restart"/>
            <w:tcBorders>
              <w:top w:val="single" w:color="000000" w:sz="4" w:space="0"/>
              <w:left w:val="single" w:color="000000" w:sz="4" w:space="0"/>
              <w:bottom w:val="single" w:color="000000" w:sz="4" w:space="0"/>
              <w:right w:val="single" w:color="000000" w:sz="4" w:space="0"/>
            </w:tcBorders>
            <w:shd w:val="clear"/>
            <w:vAlign w:val="center"/>
          </w:tcPr>
          <w:p w14:paraId="767783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佳能施乐</w:t>
            </w:r>
          </w:p>
        </w:tc>
        <w:tc>
          <w:tcPr>
            <w:tcW w:w="3510" w:type="dxa"/>
            <w:tcBorders>
              <w:top w:val="single" w:color="000000" w:sz="4" w:space="0"/>
              <w:left w:val="single" w:color="000000" w:sz="4" w:space="0"/>
              <w:bottom w:val="single" w:color="000000" w:sz="4" w:space="0"/>
              <w:right w:val="single" w:color="000000" w:sz="4" w:space="0"/>
            </w:tcBorders>
            <w:shd w:val="clear"/>
            <w:vAlign w:val="center"/>
          </w:tcPr>
          <w:p w14:paraId="484DF13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佳能数码印刷机（全新机）1台：</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1、能够彩打印复印单双面A3、A4；</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 xml:space="preserve">2、打印分辨率：2400dpix2400dpi </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复印、扫描分辨率：600dpix600dpi；</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 xml:space="preserve">3、印刷速度： 彩色A4：70页/分钟；     </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黑白A4：80页/分钟</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4、其他性能要求：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另含输稿器、网络打印；</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扫描功能支持一次双面扫描：270页/分钟</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内存：5GB  固态硬盘：256GB</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打印语言：UFR II打印语言</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预热时间：4秒。整机寿命：600万张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月均打印能力：10万张</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峰值月印量：39万张</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14:paraId="36E6C98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  A4彩色</w:t>
            </w:r>
          </w:p>
        </w:tc>
        <w:tc>
          <w:tcPr>
            <w:tcW w:w="930" w:type="dxa"/>
            <w:tcBorders>
              <w:top w:val="single" w:color="000000" w:sz="4" w:space="0"/>
              <w:left w:val="single" w:color="000000" w:sz="4" w:space="0"/>
              <w:bottom w:val="single" w:color="000000" w:sz="4" w:space="0"/>
              <w:right w:val="single" w:color="000000" w:sz="4" w:space="0"/>
            </w:tcBorders>
            <w:shd w:val="clear"/>
            <w:vAlign w:val="center"/>
          </w:tcPr>
          <w:p w14:paraId="6DF7B9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175000</w:t>
            </w:r>
          </w:p>
        </w:tc>
        <w:tc>
          <w:tcPr>
            <w:tcW w:w="840" w:type="dxa"/>
            <w:tcBorders>
              <w:top w:val="single" w:color="000000" w:sz="4" w:space="0"/>
              <w:left w:val="single" w:color="000000" w:sz="4" w:space="0"/>
              <w:bottom w:val="single" w:color="000000" w:sz="4" w:space="0"/>
              <w:right w:val="single" w:color="000000" w:sz="4" w:space="0"/>
            </w:tcBorders>
            <w:shd w:val="clear"/>
            <w:vAlign w:val="center"/>
          </w:tcPr>
          <w:p w14:paraId="6EE80CB1">
            <w:pPr>
              <w:jc w:val="center"/>
              <w:rPr>
                <w:rFonts w:hint="eastAsia" w:ascii="宋体" w:hAnsi="宋体" w:eastAsia="宋体" w:cs="宋体"/>
                <w:i w:val="0"/>
                <w:iCs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14:paraId="2061DA87">
            <w:pPr>
              <w:jc w:val="center"/>
              <w:rPr>
                <w:rFonts w:hint="eastAsia" w:ascii="宋体" w:hAnsi="宋体" w:eastAsia="宋体" w:cs="宋体"/>
                <w:i w:val="0"/>
                <w:iCs w:val="0"/>
                <w:color w:val="000000"/>
                <w:sz w:val="20"/>
                <w:szCs w:val="20"/>
                <w:u w:val="none"/>
              </w:rPr>
            </w:pPr>
          </w:p>
        </w:tc>
        <w:tc>
          <w:tcPr>
            <w:tcW w:w="885" w:type="dxa"/>
            <w:vMerge w:val="restart"/>
            <w:tcBorders>
              <w:top w:val="single" w:color="000000" w:sz="4" w:space="0"/>
              <w:left w:val="single" w:color="000000" w:sz="4" w:space="0"/>
              <w:bottom w:val="single" w:color="000000" w:sz="4" w:space="0"/>
              <w:right w:val="single" w:color="000000" w:sz="4" w:space="0"/>
            </w:tcBorders>
            <w:shd w:val="clear"/>
            <w:vAlign w:val="center"/>
          </w:tcPr>
          <w:p w14:paraId="7EECB7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租赁2台彩色打印机</w:t>
            </w:r>
          </w:p>
        </w:tc>
      </w:tr>
      <w:tr w14:paraId="2C990A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0C6B20AA">
            <w:pPr>
              <w:jc w:val="center"/>
              <w:rPr>
                <w:rFonts w:hint="eastAsia" w:ascii="宋体" w:hAnsi="宋体" w:eastAsia="宋体" w:cs="宋体"/>
                <w:i w:val="0"/>
                <w:iCs w:val="0"/>
                <w:color w:val="000000"/>
                <w:sz w:val="20"/>
                <w:szCs w:val="20"/>
                <w:u w:val="none"/>
              </w:rPr>
            </w:pPr>
          </w:p>
        </w:tc>
        <w:tc>
          <w:tcPr>
            <w:tcW w:w="615" w:type="dxa"/>
            <w:vMerge w:val="continue"/>
            <w:tcBorders>
              <w:top w:val="single" w:color="000000" w:sz="4" w:space="0"/>
              <w:left w:val="single" w:color="000000" w:sz="4" w:space="0"/>
              <w:bottom w:val="single" w:color="000000" w:sz="4" w:space="0"/>
              <w:right w:val="single" w:color="000000" w:sz="4" w:space="0"/>
            </w:tcBorders>
            <w:shd w:val="clear"/>
            <w:vAlign w:val="center"/>
          </w:tcPr>
          <w:p w14:paraId="23114B4F">
            <w:pPr>
              <w:jc w:val="center"/>
              <w:rPr>
                <w:rFonts w:hint="eastAsia" w:ascii="宋体" w:hAnsi="宋体" w:eastAsia="宋体" w:cs="宋体"/>
                <w:i w:val="0"/>
                <w:iCs w:val="0"/>
                <w:color w:val="000000"/>
                <w:sz w:val="20"/>
                <w:szCs w:val="20"/>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26B3C16D">
            <w:pPr>
              <w:jc w:val="center"/>
              <w:rPr>
                <w:rFonts w:hint="eastAsia" w:ascii="宋体" w:hAnsi="宋体" w:eastAsia="宋体" w:cs="宋体"/>
                <w:i w:val="0"/>
                <w:iCs w:val="0"/>
                <w:color w:val="000000"/>
                <w:sz w:val="20"/>
                <w:szCs w:val="20"/>
                <w:u w:val="none"/>
              </w:rPr>
            </w:pPr>
          </w:p>
        </w:tc>
        <w:tc>
          <w:tcPr>
            <w:tcW w:w="3510" w:type="dxa"/>
            <w:vMerge w:val="restart"/>
            <w:tcBorders>
              <w:top w:val="single" w:color="000000" w:sz="4" w:space="0"/>
              <w:left w:val="single" w:color="000000" w:sz="4" w:space="0"/>
              <w:bottom w:val="single" w:color="000000" w:sz="4" w:space="0"/>
              <w:right w:val="single" w:color="000000" w:sz="4" w:space="0"/>
            </w:tcBorders>
            <w:shd w:val="clear"/>
            <w:vAlign w:val="center"/>
          </w:tcPr>
          <w:p w14:paraId="601ACD1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施乐彩色数码打印机（最少8成次新机）1台：</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1、能够彩打印复印单双面A3、A4；</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2、能够打印彩色、黑白120G到300G封面纸；</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3、含输稿器、网络打印、扫描功能。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4、单独配备一台彩色复印机可打印封面、重磅纸；</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14:paraId="33F905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A4</w:t>
            </w:r>
            <w:r>
              <w:rPr>
                <w:rStyle w:val="15"/>
                <w:bdr w:val="none" w:color="auto" w:sz="0" w:space="0"/>
                <w:lang w:val="en-US" w:eastAsia="zh-CN" w:bidi="ar"/>
              </w:rPr>
              <w:t>黑白</w:t>
            </w:r>
          </w:p>
        </w:tc>
        <w:tc>
          <w:tcPr>
            <w:tcW w:w="930" w:type="dxa"/>
            <w:tcBorders>
              <w:top w:val="single" w:color="000000" w:sz="4" w:space="0"/>
              <w:left w:val="single" w:color="000000" w:sz="4" w:space="0"/>
              <w:bottom w:val="single" w:color="000000" w:sz="4" w:space="0"/>
              <w:right w:val="single" w:color="000000" w:sz="4" w:space="0"/>
            </w:tcBorders>
            <w:shd w:val="clear"/>
            <w:vAlign w:val="center"/>
          </w:tcPr>
          <w:p w14:paraId="7676729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bdr w:val="none" w:color="auto" w:sz="0" w:space="0"/>
                <w:lang w:val="en-US" w:eastAsia="zh-CN" w:bidi="ar"/>
              </w:rPr>
              <w:t>115000</w:t>
            </w:r>
          </w:p>
        </w:tc>
        <w:tc>
          <w:tcPr>
            <w:tcW w:w="840" w:type="dxa"/>
            <w:tcBorders>
              <w:top w:val="single" w:color="000000" w:sz="4" w:space="0"/>
              <w:left w:val="single" w:color="000000" w:sz="4" w:space="0"/>
              <w:bottom w:val="single" w:color="000000" w:sz="4" w:space="0"/>
              <w:right w:val="single" w:color="000000" w:sz="4" w:space="0"/>
            </w:tcBorders>
            <w:shd w:val="clear"/>
            <w:vAlign w:val="center"/>
          </w:tcPr>
          <w:p w14:paraId="7E19F7D9">
            <w:pPr>
              <w:jc w:val="center"/>
              <w:rPr>
                <w:rFonts w:hint="eastAsia" w:ascii="宋体" w:hAnsi="宋体" w:eastAsia="宋体" w:cs="宋体"/>
                <w:i w:val="0"/>
                <w:iCs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14:paraId="47B56D13">
            <w:pPr>
              <w:jc w:val="center"/>
              <w:rPr>
                <w:rFonts w:hint="eastAsia" w:ascii="宋体" w:hAnsi="宋体" w:eastAsia="宋体" w:cs="宋体"/>
                <w:i w:val="0"/>
                <w:iCs w:val="0"/>
                <w:color w:val="000000"/>
                <w:sz w:val="20"/>
                <w:szCs w:val="20"/>
                <w:u w:val="none"/>
              </w:rPr>
            </w:pPr>
          </w:p>
        </w:tc>
        <w:tc>
          <w:tcPr>
            <w:tcW w:w="885" w:type="dxa"/>
            <w:vMerge w:val="continue"/>
            <w:tcBorders>
              <w:top w:val="single" w:color="000000" w:sz="4" w:space="0"/>
              <w:left w:val="single" w:color="000000" w:sz="4" w:space="0"/>
              <w:bottom w:val="single" w:color="000000" w:sz="4" w:space="0"/>
              <w:right w:val="single" w:color="000000" w:sz="4" w:space="0"/>
            </w:tcBorders>
            <w:shd w:val="clear"/>
            <w:vAlign w:val="center"/>
          </w:tcPr>
          <w:p w14:paraId="06F5BA7F">
            <w:pPr>
              <w:jc w:val="center"/>
              <w:rPr>
                <w:rFonts w:hint="eastAsia" w:ascii="宋体" w:hAnsi="宋体" w:eastAsia="宋体" w:cs="宋体"/>
                <w:i w:val="0"/>
                <w:iCs w:val="0"/>
                <w:color w:val="000000"/>
                <w:sz w:val="20"/>
                <w:szCs w:val="20"/>
                <w:u w:val="none"/>
              </w:rPr>
            </w:pPr>
          </w:p>
        </w:tc>
      </w:tr>
      <w:tr w14:paraId="69B9ED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45624C3">
            <w:pPr>
              <w:jc w:val="center"/>
              <w:rPr>
                <w:rFonts w:hint="eastAsia" w:ascii="宋体" w:hAnsi="宋体" w:eastAsia="宋体" w:cs="宋体"/>
                <w:i w:val="0"/>
                <w:iCs w:val="0"/>
                <w:color w:val="000000"/>
                <w:sz w:val="20"/>
                <w:szCs w:val="20"/>
                <w:u w:val="none"/>
              </w:rPr>
            </w:pPr>
          </w:p>
        </w:tc>
        <w:tc>
          <w:tcPr>
            <w:tcW w:w="615" w:type="dxa"/>
            <w:vMerge w:val="continue"/>
            <w:tcBorders>
              <w:top w:val="single" w:color="000000" w:sz="4" w:space="0"/>
              <w:left w:val="single" w:color="000000" w:sz="4" w:space="0"/>
              <w:bottom w:val="single" w:color="000000" w:sz="4" w:space="0"/>
              <w:right w:val="single" w:color="000000" w:sz="4" w:space="0"/>
            </w:tcBorders>
            <w:shd w:val="clear"/>
            <w:vAlign w:val="center"/>
          </w:tcPr>
          <w:p w14:paraId="6D0F1F19">
            <w:pPr>
              <w:jc w:val="center"/>
              <w:rPr>
                <w:rFonts w:hint="eastAsia" w:ascii="宋体" w:hAnsi="宋体" w:eastAsia="宋体" w:cs="宋体"/>
                <w:i w:val="0"/>
                <w:iCs w:val="0"/>
                <w:color w:val="000000"/>
                <w:sz w:val="20"/>
                <w:szCs w:val="20"/>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04659EE2">
            <w:pPr>
              <w:jc w:val="center"/>
              <w:rPr>
                <w:rFonts w:hint="eastAsia" w:ascii="宋体" w:hAnsi="宋体" w:eastAsia="宋体" w:cs="宋体"/>
                <w:i w:val="0"/>
                <w:iCs w:val="0"/>
                <w:color w:val="000000"/>
                <w:sz w:val="20"/>
                <w:szCs w:val="20"/>
                <w:u w:val="none"/>
              </w:rPr>
            </w:pPr>
          </w:p>
        </w:tc>
        <w:tc>
          <w:tcPr>
            <w:tcW w:w="3510" w:type="dxa"/>
            <w:vMerge w:val="continue"/>
            <w:tcBorders>
              <w:top w:val="single" w:color="000000" w:sz="4" w:space="0"/>
              <w:left w:val="single" w:color="000000" w:sz="4" w:space="0"/>
              <w:bottom w:val="single" w:color="000000" w:sz="4" w:space="0"/>
              <w:right w:val="single" w:color="000000" w:sz="4" w:space="0"/>
            </w:tcBorders>
            <w:shd w:val="clear"/>
            <w:vAlign w:val="center"/>
          </w:tcPr>
          <w:p w14:paraId="16846A0C">
            <w:pPr>
              <w:jc w:val="left"/>
              <w:rPr>
                <w:rFonts w:hint="eastAsia" w:ascii="宋体" w:hAnsi="宋体" w:eastAsia="宋体" w:cs="宋体"/>
                <w:i w:val="0"/>
                <w:iCs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14:paraId="2FEB27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A3</w:t>
            </w:r>
            <w:r>
              <w:rPr>
                <w:rStyle w:val="15"/>
                <w:bdr w:val="none" w:color="auto" w:sz="0" w:space="0"/>
                <w:lang w:val="en-US" w:eastAsia="zh-CN" w:bidi="ar"/>
              </w:rPr>
              <w:t>彩色</w:t>
            </w:r>
          </w:p>
        </w:tc>
        <w:tc>
          <w:tcPr>
            <w:tcW w:w="930" w:type="dxa"/>
            <w:tcBorders>
              <w:top w:val="single" w:color="000000" w:sz="4" w:space="0"/>
              <w:left w:val="single" w:color="000000" w:sz="4" w:space="0"/>
              <w:bottom w:val="single" w:color="000000" w:sz="4" w:space="0"/>
              <w:right w:val="single" w:color="000000" w:sz="4" w:space="0"/>
            </w:tcBorders>
            <w:shd w:val="clear"/>
            <w:vAlign w:val="center"/>
          </w:tcPr>
          <w:p w14:paraId="5719FA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50000</w:t>
            </w:r>
          </w:p>
        </w:tc>
        <w:tc>
          <w:tcPr>
            <w:tcW w:w="840" w:type="dxa"/>
            <w:tcBorders>
              <w:top w:val="single" w:color="000000" w:sz="4" w:space="0"/>
              <w:left w:val="single" w:color="000000" w:sz="4" w:space="0"/>
              <w:bottom w:val="single" w:color="000000" w:sz="4" w:space="0"/>
              <w:right w:val="single" w:color="000000" w:sz="4" w:space="0"/>
            </w:tcBorders>
            <w:shd w:val="clear"/>
            <w:vAlign w:val="center"/>
          </w:tcPr>
          <w:p w14:paraId="7A2C69A0">
            <w:pPr>
              <w:jc w:val="center"/>
              <w:rPr>
                <w:rFonts w:hint="eastAsia" w:ascii="宋体" w:hAnsi="宋体" w:eastAsia="宋体" w:cs="宋体"/>
                <w:i w:val="0"/>
                <w:iCs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14:paraId="2AD91FD9">
            <w:pPr>
              <w:jc w:val="center"/>
              <w:rPr>
                <w:rFonts w:hint="eastAsia" w:ascii="宋体" w:hAnsi="宋体" w:eastAsia="宋体" w:cs="宋体"/>
                <w:i w:val="0"/>
                <w:iCs w:val="0"/>
                <w:color w:val="000000"/>
                <w:sz w:val="20"/>
                <w:szCs w:val="20"/>
                <w:u w:val="none"/>
              </w:rPr>
            </w:pPr>
          </w:p>
        </w:tc>
        <w:tc>
          <w:tcPr>
            <w:tcW w:w="885" w:type="dxa"/>
            <w:vMerge w:val="continue"/>
            <w:tcBorders>
              <w:top w:val="single" w:color="000000" w:sz="4" w:space="0"/>
              <w:left w:val="single" w:color="000000" w:sz="4" w:space="0"/>
              <w:bottom w:val="single" w:color="000000" w:sz="4" w:space="0"/>
              <w:right w:val="single" w:color="000000" w:sz="4" w:space="0"/>
            </w:tcBorders>
            <w:shd w:val="clear"/>
            <w:vAlign w:val="center"/>
          </w:tcPr>
          <w:p w14:paraId="75162CD1">
            <w:pPr>
              <w:jc w:val="center"/>
              <w:rPr>
                <w:rFonts w:hint="eastAsia" w:ascii="宋体" w:hAnsi="宋体" w:eastAsia="宋体" w:cs="宋体"/>
                <w:i w:val="0"/>
                <w:iCs w:val="0"/>
                <w:color w:val="000000"/>
                <w:sz w:val="20"/>
                <w:szCs w:val="20"/>
                <w:u w:val="none"/>
              </w:rPr>
            </w:pPr>
          </w:p>
        </w:tc>
      </w:tr>
      <w:tr w14:paraId="3FDA30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8025" w:type="dxa"/>
            <w:gridSpan w:val="7"/>
            <w:tcBorders>
              <w:top w:val="single" w:color="000000" w:sz="4" w:space="0"/>
              <w:left w:val="single" w:color="000000" w:sz="4" w:space="0"/>
              <w:bottom w:val="single" w:color="000000" w:sz="4" w:space="0"/>
              <w:right w:val="single" w:color="000000" w:sz="4" w:space="0"/>
            </w:tcBorders>
            <w:shd w:val="clear"/>
            <w:vAlign w:val="center"/>
          </w:tcPr>
          <w:p w14:paraId="23A995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合计</w:t>
            </w:r>
          </w:p>
        </w:tc>
        <w:tc>
          <w:tcPr>
            <w:tcW w:w="1080" w:type="dxa"/>
            <w:tcBorders>
              <w:top w:val="single" w:color="000000" w:sz="4" w:space="0"/>
              <w:left w:val="single" w:color="000000" w:sz="4" w:space="0"/>
              <w:bottom w:val="single" w:color="000000" w:sz="4" w:space="0"/>
              <w:right w:val="single" w:color="000000" w:sz="4" w:space="0"/>
            </w:tcBorders>
            <w:shd w:val="clear"/>
            <w:vAlign w:val="center"/>
          </w:tcPr>
          <w:p w14:paraId="2538719C">
            <w:pPr>
              <w:jc w:val="center"/>
              <w:rPr>
                <w:rFonts w:hint="eastAsia" w:ascii="宋体" w:hAnsi="宋体" w:eastAsia="宋体" w:cs="宋体"/>
                <w:i w:val="0"/>
                <w:iCs w:val="0"/>
                <w:color w:val="000000"/>
                <w:sz w:val="20"/>
                <w:szCs w:val="20"/>
                <w:u w:val="none"/>
              </w:rPr>
            </w:pPr>
          </w:p>
        </w:tc>
        <w:tc>
          <w:tcPr>
            <w:tcW w:w="885" w:type="dxa"/>
            <w:tcBorders>
              <w:top w:val="single" w:color="000000" w:sz="4" w:space="0"/>
              <w:left w:val="single" w:color="000000" w:sz="4" w:space="0"/>
              <w:bottom w:val="single" w:color="000000" w:sz="4" w:space="0"/>
              <w:right w:val="single" w:color="000000" w:sz="4" w:space="0"/>
            </w:tcBorders>
            <w:shd w:val="clear"/>
            <w:vAlign w:val="center"/>
          </w:tcPr>
          <w:p w14:paraId="6620B4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按实结算</w:t>
            </w:r>
          </w:p>
        </w:tc>
      </w:tr>
    </w:tbl>
    <w:p w14:paraId="52D8F38E">
      <w:pPr>
        <w:adjustRightInd w:val="0"/>
        <w:snapToGrid w:val="0"/>
        <w:spacing w:line="360" w:lineRule="auto"/>
        <w:ind w:firstLine="420" w:firstLineChars="200"/>
        <w:rPr>
          <w:rFonts w:hint="eastAsia" w:cs="宋体"/>
          <w:kern w:val="0"/>
          <w:szCs w:val="21"/>
        </w:rPr>
      </w:pPr>
      <w:bookmarkStart w:id="0" w:name="_GoBack"/>
      <w:bookmarkEnd w:id="0"/>
    </w:p>
    <w:p w14:paraId="4D303D57">
      <w:pPr>
        <w:adjustRightInd w:val="0"/>
        <w:snapToGrid w:val="0"/>
        <w:spacing w:line="360" w:lineRule="auto"/>
        <w:ind w:firstLine="420" w:firstLineChars="200"/>
        <w:rPr>
          <w:rFonts w:hint="eastAsia" w:cs="宋体"/>
          <w:kern w:val="0"/>
          <w:szCs w:val="21"/>
        </w:rPr>
      </w:pPr>
      <w:r>
        <w:rPr>
          <w:rFonts w:hint="eastAsia" w:cs="宋体"/>
          <w:kern w:val="0"/>
          <w:szCs w:val="21"/>
        </w:rPr>
        <w:t>乙方租给甲方使用的复印设备、耗材、零配件的所有权属于乙方，待本同履行完毕，甲方不再租赁上述设备时，乙方负责运走设备。</w:t>
      </w:r>
    </w:p>
    <w:p w14:paraId="64BFBADE">
      <w:pPr>
        <w:adjustRightInd w:val="0"/>
        <w:snapToGrid w:val="0"/>
        <w:spacing w:before="156" w:beforeLines="50" w:line="360" w:lineRule="auto"/>
        <w:ind w:firstLine="422" w:firstLineChars="200"/>
        <w:rPr>
          <w:rFonts w:hint="eastAsia" w:hAnsi="宋体"/>
          <w:b/>
          <w:szCs w:val="21"/>
        </w:rPr>
      </w:pPr>
      <w:r>
        <w:rPr>
          <w:rFonts w:hint="eastAsia" w:hAnsi="宋体"/>
          <w:b/>
          <w:szCs w:val="21"/>
        </w:rPr>
        <w:t>三、租赁地点：</w:t>
      </w:r>
      <w:r>
        <w:rPr>
          <w:rFonts w:hint="eastAsia" w:hAnsi="宋体"/>
          <w:b/>
          <w:szCs w:val="21"/>
          <w:u w:val="single"/>
        </w:rPr>
        <w:t xml:space="preserve">华南理工大学校内  </w:t>
      </w:r>
    </w:p>
    <w:p w14:paraId="645AB60D">
      <w:pPr>
        <w:adjustRightInd w:val="0"/>
        <w:snapToGrid w:val="0"/>
        <w:spacing w:before="156" w:beforeLines="50" w:line="360" w:lineRule="auto"/>
        <w:ind w:firstLine="422" w:firstLineChars="200"/>
        <w:rPr>
          <w:rFonts w:hint="eastAsia" w:hAnsi="宋体"/>
          <w:b/>
          <w:szCs w:val="21"/>
        </w:rPr>
      </w:pPr>
      <w:r>
        <w:rPr>
          <w:rFonts w:hint="eastAsia" w:hAnsi="宋体"/>
          <w:b/>
          <w:szCs w:val="21"/>
        </w:rPr>
        <w:t>四、租赁费计算方法</w:t>
      </w:r>
    </w:p>
    <w:p w14:paraId="3093C74F">
      <w:pPr>
        <w:adjustRightInd w:val="0"/>
        <w:snapToGrid w:val="0"/>
        <w:spacing w:line="360" w:lineRule="auto"/>
        <w:ind w:firstLine="420" w:firstLineChars="200"/>
        <w:rPr>
          <w:rFonts w:hint="eastAsia" w:hAnsi="宋体"/>
          <w:b/>
          <w:szCs w:val="21"/>
        </w:rPr>
      </w:pPr>
      <w:r>
        <w:rPr>
          <w:rFonts w:hint="eastAsia" w:cs="宋体"/>
          <w:kern w:val="0"/>
          <w:szCs w:val="21"/>
        </w:rPr>
        <w:t>1．</w:t>
      </w:r>
      <w:r>
        <w:rPr>
          <w:rFonts w:hint="eastAsia" w:ascii="宋体" w:hAnsi="宋体"/>
          <w:szCs w:val="21"/>
        </w:rPr>
        <w:t>服务费实算（含税价），合同期限内总费用不超过</w:t>
      </w:r>
      <w:r>
        <w:rPr>
          <w:szCs w:val="21"/>
        </w:rPr>
        <w:t>20</w:t>
      </w:r>
      <w:r>
        <w:rPr>
          <w:rFonts w:hint="eastAsia" w:ascii="宋体" w:hAnsi="宋体"/>
          <w:szCs w:val="21"/>
        </w:rPr>
        <w:t>万元。</w:t>
      </w:r>
    </w:p>
    <w:p w14:paraId="3D6831F4">
      <w:pPr>
        <w:adjustRightInd w:val="0"/>
        <w:snapToGrid w:val="0"/>
        <w:spacing w:line="360" w:lineRule="auto"/>
        <w:ind w:firstLine="420" w:firstLineChars="200"/>
        <w:rPr>
          <w:rFonts w:hint="eastAsia" w:cs="宋体"/>
          <w:kern w:val="0"/>
          <w:szCs w:val="21"/>
        </w:rPr>
      </w:pPr>
      <w:r>
        <w:rPr>
          <w:rFonts w:hint="eastAsia" w:cs="宋体"/>
          <w:kern w:val="0"/>
          <w:szCs w:val="21"/>
        </w:rPr>
        <w:t>2．采用先使用再付费的原则，总金额=使用数量*单价。</w:t>
      </w:r>
    </w:p>
    <w:p w14:paraId="1C001C88">
      <w:pPr>
        <w:adjustRightInd w:val="0"/>
        <w:snapToGrid w:val="0"/>
        <w:spacing w:line="360" w:lineRule="auto"/>
        <w:ind w:firstLine="420" w:firstLineChars="200"/>
        <w:rPr>
          <w:rFonts w:hint="eastAsia" w:cs="宋体"/>
          <w:kern w:val="0"/>
          <w:szCs w:val="21"/>
        </w:rPr>
      </w:pPr>
      <w:r>
        <w:rPr>
          <w:rFonts w:hint="eastAsia" w:cs="宋体"/>
          <w:kern w:val="0"/>
          <w:szCs w:val="21"/>
        </w:rPr>
        <w:t>3．从送机安装调试正常后为租金起计日，即日为抄表核算日。</w:t>
      </w:r>
    </w:p>
    <w:p w14:paraId="3EF5A6F6">
      <w:pPr>
        <w:adjustRightInd w:val="0"/>
        <w:snapToGrid w:val="0"/>
        <w:spacing w:line="360" w:lineRule="auto"/>
        <w:ind w:firstLine="420" w:firstLineChars="200"/>
        <w:rPr>
          <w:rFonts w:hint="eastAsia" w:cs="宋体"/>
          <w:kern w:val="0"/>
          <w:szCs w:val="21"/>
        </w:rPr>
      </w:pPr>
      <w:r>
        <w:rPr>
          <w:rFonts w:hint="eastAsia" w:cs="宋体"/>
          <w:kern w:val="0"/>
          <w:szCs w:val="21"/>
        </w:rPr>
        <w:t>4．机器的计数器起始读数为：</w:t>
      </w:r>
      <w:r>
        <w:rPr>
          <w:rFonts w:hint="eastAsia" w:cs="宋体"/>
          <w:kern w:val="0"/>
          <w:szCs w:val="21"/>
          <w:u w:val="single"/>
        </w:rPr>
        <w:t xml:space="preserve"> 0   ，</w:t>
      </w:r>
      <w:r>
        <w:rPr>
          <w:rFonts w:hint="eastAsia" w:cs="宋体"/>
          <w:kern w:val="0"/>
          <w:szCs w:val="21"/>
        </w:rPr>
        <w:t>如果更换设备将续前表读数。</w:t>
      </w:r>
    </w:p>
    <w:p w14:paraId="6888B8D3">
      <w:pPr>
        <w:adjustRightInd w:val="0"/>
        <w:snapToGrid w:val="0"/>
        <w:spacing w:before="156" w:beforeLines="50" w:line="360" w:lineRule="auto"/>
        <w:ind w:firstLine="422" w:firstLineChars="200"/>
        <w:rPr>
          <w:rFonts w:hint="eastAsia" w:hAnsi="宋体"/>
          <w:b/>
          <w:szCs w:val="21"/>
        </w:rPr>
      </w:pPr>
      <w:r>
        <w:rPr>
          <w:rFonts w:hint="eastAsia" w:hAnsi="宋体"/>
          <w:b/>
          <w:szCs w:val="21"/>
        </w:rPr>
        <w:t>五、乙方的义务和责任</w:t>
      </w:r>
    </w:p>
    <w:p w14:paraId="005ED13F">
      <w:pPr>
        <w:adjustRightInd w:val="0"/>
        <w:snapToGrid w:val="0"/>
        <w:spacing w:line="360" w:lineRule="auto"/>
        <w:ind w:firstLine="420" w:firstLineChars="200"/>
        <w:rPr>
          <w:rFonts w:hint="eastAsia" w:cs="宋体"/>
          <w:kern w:val="0"/>
          <w:szCs w:val="21"/>
        </w:rPr>
      </w:pPr>
      <w:r>
        <w:rPr>
          <w:rFonts w:hint="eastAsia" w:cs="宋体"/>
          <w:kern w:val="0"/>
          <w:szCs w:val="21"/>
        </w:rPr>
        <w:t>1．乙方按约定日期免费运送、安装复印设备并指导使用，合同结束后两天内运走设备；</w:t>
      </w:r>
    </w:p>
    <w:p w14:paraId="39F90C3B">
      <w:pPr>
        <w:adjustRightInd w:val="0"/>
        <w:snapToGrid w:val="0"/>
        <w:spacing w:line="360" w:lineRule="auto"/>
        <w:ind w:firstLine="420" w:firstLineChars="200"/>
        <w:rPr>
          <w:rFonts w:hint="eastAsia" w:cs="宋体"/>
          <w:kern w:val="0"/>
          <w:szCs w:val="21"/>
        </w:rPr>
      </w:pPr>
      <w:r>
        <w:rPr>
          <w:rFonts w:hint="eastAsia" w:cs="宋体"/>
          <w:kern w:val="0"/>
          <w:szCs w:val="21"/>
        </w:rPr>
        <w:t>2．除复印纸外，免费提供复印机耗材、零配件及维修保养服务；</w:t>
      </w:r>
    </w:p>
    <w:p w14:paraId="207595BF">
      <w:pPr>
        <w:adjustRightInd w:val="0"/>
        <w:snapToGrid w:val="0"/>
        <w:spacing w:line="360" w:lineRule="auto"/>
        <w:ind w:firstLine="420" w:firstLineChars="200"/>
        <w:rPr>
          <w:rFonts w:hint="eastAsia" w:cs="宋体"/>
          <w:kern w:val="0"/>
          <w:szCs w:val="21"/>
        </w:rPr>
      </w:pPr>
      <w:r>
        <w:rPr>
          <w:rFonts w:hint="eastAsia" w:cs="宋体"/>
          <w:kern w:val="0"/>
          <w:szCs w:val="21"/>
        </w:rPr>
        <w:t>3．当复印机发生故障时，乙方接到通知后</w:t>
      </w:r>
      <w:r>
        <w:rPr>
          <w:rFonts w:hint="eastAsia" w:cs="宋体"/>
          <w:kern w:val="0"/>
          <w:szCs w:val="21"/>
          <w:u w:val="single"/>
        </w:rPr>
        <w:t xml:space="preserve">  1  </w:t>
      </w:r>
      <w:r>
        <w:rPr>
          <w:rFonts w:hint="eastAsia" w:cs="宋体"/>
          <w:kern w:val="0"/>
          <w:szCs w:val="21"/>
        </w:rPr>
        <w:t>个工作小时内上门维修（节假日除外），如在三个工作日内无法修复的，乙方需整机更换复印机给甲方使用。</w:t>
      </w:r>
    </w:p>
    <w:p w14:paraId="0AA8CC9E">
      <w:pPr>
        <w:adjustRightInd w:val="0"/>
        <w:snapToGrid w:val="0"/>
        <w:spacing w:line="360" w:lineRule="auto"/>
        <w:ind w:firstLine="420" w:firstLineChars="200"/>
        <w:rPr>
          <w:rFonts w:hint="eastAsia" w:cs="宋体"/>
          <w:kern w:val="0"/>
          <w:szCs w:val="21"/>
        </w:rPr>
      </w:pPr>
      <w:r>
        <w:rPr>
          <w:rFonts w:hint="eastAsia" w:cs="宋体"/>
          <w:kern w:val="0"/>
          <w:szCs w:val="21"/>
        </w:rPr>
        <w:t>4．乙方每次维修机器，维修工程师应在甲方前台处登记填表备案。乙方所提供的设备每月维修次数达三次以上的（指机器本身的故障；人为故障、设备本身的正常损耗除外），甲方有权更换设备。</w:t>
      </w:r>
    </w:p>
    <w:p w14:paraId="10E31325">
      <w:pPr>
        <w:adjustRightInd w:val="0"/>
        <w:snapToGrid w:val="0"/>
        <w:spacing w:before="156" w:beforeLines="50" w:line="360" w:lineRule="auto"/>
        <w:ind w:firstLine="422" w:firstLineChars="200"/>
        <w:rPr>
          <w:rFonts w:hint="eastAsia" w:hAnsi="宋体"/>
          <w:b/>
          <w:szCs w:val="21"/>
        </w:rPr>
      </w:pPr>
      <w:r>
        <w:rPr>
          <w:rFonts w:hint="eastAsia" w:hAnsi="宋体"/>
          <w:b/>
          <w:szCs w:val="21"/>
        </w:rPr>
        <w:t>六、甲方的义务和责任：</w:t>
      </w:r>
    </w:p>
    <w:p w14:paraId="075EDE38">
      <w:pPr>
        <w:adjustRightInd w:val="0"/>
        <w:snapToGrid w:val="0"/>
        <w:spacing w:line="360" w:lineRule="auto"/>
        <w:ind w:firstLine="420" w:firstLineChars="200"/>
        <w:rPr>
          <w:rFonts w:hint="eastAsia" w:cs="宋体"/>
          <w:kern w:val="0"/>
          <w:szCs w:val="21"/>
        </w:rPr>
      </w:pPr>
      <w:r>
        <w:rPr>
          <w:rFonts w:hint="eastAsia" w:cs="宋体"/>
          <w:kern w:val="0"/>
          <w:szCs w:val="21"/>
        </w:rPr>
        <w:t>1．每月在收到乙方提供的租金收款票据后，在当月内付清上一月租金；超期支付，则每超 1 天按应付金额的  0.5  %向乙方支付滞纳金（寒暑假期间可以延期到开学后支付）。</w:t>
      </w:r>
    </w:p>
    <w:p w14:paraId="5352C899">
      <w:pPr>
        <w:adjustRightInd w:val="0"/>
        <w:snapToGrid w:val="0"/>
        <w:spacing w:line="360" w:lineRule="auto"/>
        <w:ind w:firstLine="420" w:firstLineChars="200"/>
        <w:rPr>
          <w:rFonts w:hint="eastAsia" w:cs="宋体"/>
          <w:kern w:val="0"/>
          <w:szCs w:val="21"/>
        </w:rPr>
      </w:pPr>
      <w:r>
        <w:rPr>
          <w:rFonts w:hint="eastAsia" w:cs="宋体"/>
          <w:kern w:val="0"/>
          <w:szCs w:val="21"/>
        </w:rPr>
        <w:t>2．指派专人负责复印机的使用和管理，主动配合乙方做好抄表、收租工作；</w:t>
      </w:r>
    </w:p>
    <w:p w14:paraId="559109B3">
      <w:pPr>
        <w:adjustRightInd w:val="0"/>
        <w:snapToGrid w:val="0"/>
        <w:spacing w:line="360" w:lineRule="auto"/>
        <w:ind w:firstLine="420" w:firstLineChars="200"/>
        <w:rPr>
          <w:rFonts w:hint="eastAsia" w:cs="宋体"/>
          <w:kern w:val="0"/>
          <w:szCs w:val="21"/>
        </w:rPr>
      </w:pPr>
      <w:r>
        <w:rPr>
          <w:rFonts w:hint="eastAsia" w:cs="宋体"/>
          <w:kern w:val="0"/>
          <w:szCs w:val="21"/>
        </w:rPr>
        <w:t>3．乙方将上述机器设备送达放置地点后，上述机器设备之风险转由甲方承担。</w:t>
      </w:r>
    </w:p>
    <w:p w14:paraId="4FA9531A">
      <w:pPr>
        <w:adjustRightInd w:val="0"/>
        <w:snapToGrid w:val="0"/>
        <w:spacing w:line="360" w:lineRule="auto"/>
        <w:ind w:firstLine="420" w:firstLineChars="200"/>
        <w:rPr>
          <w:rFonts w:hint="eastAsia" w:cs="宋体"/>
          <w:kern w:val="0"/>
          <w:szCs w:val="21"/>
        </w:rPr>
      </w:pPr>
      <w:r>
        <w:rPr>
          <w:rFonts w:hint="eastAsia" w:cs="宋体"/>
          <w:kern w:val="0"/>
          <w:szCs w:val="21"/>
        </w:rPr>
        <w:t>4．甲方如须将上述机器设备搬离约定的放置地点，应提前5日（不含法定节假日）以书面形式通知乙方，并经乙方同意后方可请求乙方负责搬移，但搬移所需费用由甲方承担。</w:t>
      </w:r>
    </w:p>
    <w:p w14:paraId="12C8E3C5">
      <w:pPr>
        <w:adjustRightInd w:val="0"/>
        <w:snapToGrid w:val="0"/>
        <w:spacing w:line="360" w:lineRule="auto"/>
        <w:ind w:firstLine="420" w:firstLineChars="200"/>
        <w:rPr>
          <w:rFonts w:hint="eastAsia" w:cs="宋体"/>
          <w:kern w:val="0"/>
          <w:szCs w:val="21"/>
        </w:rPr>
      </w:pPr>
      <w:r>
        <w:rPr>
          <w:rFonts w:hint="eastAsia" w:cs="宋体"/>
          <w:kern w:val="0"/>
          <w:szCs w:val="21"/>
        </w:rPr>
        <w:t>5．甲方有义务正确使用和妥善保管租用设备,退租时，甲方应保证机器设备完好、无缺件。在租赁期内，若因以下任一情况造成机器设备损坏，由甲方负责赔偿。</w:t>
      </w:r>
    </w:p>
    <w:p w14:paraId="2C61DB6A">
      <w:pPr>
        <w:adjustRightInd w:val="0"/>
        <w:snapToGrid w:val="0"/>
        <w:spacing w:line="360" w:lineRule="auto"/>
        <w:ind w:firstLine="420" w:firstLineChars="200"/>
        <w:rPr>
          <w:rFonts w:hint="eastAsia" w:cs="宋体"/>
          <w:kern w:val="0"/>
          <w:szCs w:val="21"/>
        </w:rPr>
      </w:pPr>
      <w:r>
        <w:rPr>
          <w:rFonts w:hint="eastAsia" w:cs="宋体"/>
          <w:kern w:val="0"/>
          <w:szCs w:val="21"/>
        </w:rPr>
        <w:t>（1）因甲方使用不当或者因其他第三方过失导致机器设备损坏。</w:t>
      </w:r>
    </w:p>
    <w:p w14:paraId="002CC525">
      <w:pPr>
        <w:adjustRightInd w:val="0"/>
        <w:snapToGrid w:val="0"/>
        <w:spacing w:line="360" w:lineRule="auto"/>
        <w:ind w:firstLine="420" w:firstLineChars="200"/>
        <w:rPr>
          <w:rFonts w:hint="eastAsia" w:cs="宋体"/>
          <w:kern w:val="0"/>
          <w:szCs w:val="21"/>
        </w:rPr>
      </w:pPr>
      <w:r>
        <w:rPr>
          <w:rFonts w:hint="eastAsia" w:cs="宋体"/>
          <w:kern w:val="0"/>
          <w:szCs w:val="21"/>
        </w:rPr>
        <w:t>（2）因甲方委托非乙方技术人员进行维修而导致机器设备损坏。</w:t>
      </w:r>
    </w:p>
    <w:p w14:paraId="3BDC0FB1">
      <w:pPr>
        <w:adjustRightInd w:val="0"/>
        <w:snapToGrid w:val="0"/>
        <w:spacing w:line="360" w:lineRule="auto"/>
        <w:ind w:firstLine="420" w:firstLineChars="200"/>
        <w:rPr>
          <w:rFonts w:hint="eastAsia" w:cs="宋体"/>
          <w:kern w:val="0"/>
          <w:szCs w:val="21"/>
        </w:rPr>
      </w:pPr>
      <w:r>
        <w:rPr>
          <w:rFonts w:hint="eastAsia" w:cs="宋体"/>
          <w:kern w:val="0"/>
          <w:szCs w:val="21"/>
        </w:rPr>
        <w:t>（3）因甲方使用之电源与机器设备电流、电压不匹配或电压不稳定而引起的故障及损坏。</w:t>
      </w:r>
    </w:p>
    <w:p w14:paraId="4D41D069">
      <w:pPr>
        <w:adjustRightInd w:val="0"/>
        <w:snapToGrid w:val="0"/>
        <w:spacing w:line="360" w:lineRule="auto"/>
        <w:ind w:firstLine="420" w:firstLineChars="200"/>
        <w:rPr>
          <w:rFonts w:hint="eastAsia" w:cs="宋体"/>
          <w:kern w:val="0"/>
          <w:szCs w:val="21"/>
        </w:rPr>
      </w:pPr>
      <w:r>
        <w:rPr>
          <w:rFonts w:hint="eastAsia" w:cs="宋体"/>
          <w:kern w:val="0"/>
          <w:szCs w:val="21"/>
        </w:rPr>
        <w:t>（4）因甲方擅自改制机器或更换非本机器适用之零配件或使用不良耗材。</w:t>
      </w:r>
    </w:p>
    <w:p w14:paraId="2705F2C7">
      <w:pPr>
        <w:adjustRightInd w:val="0"/>
        <w:snapToGrid w:val="0"/>
        <w:spacing w:line="360" w:lineRule="auto"/>
        <w:ind w:firstLine="420" w:firstLineChars="200"/>
        <w:rPr>
          <w:rFonts w:hint="eastAsia" w:cs="宋体"/>
          <w:kern w:val="0"/>
          <w:szCs w:val="21"/>
        </w:rPr>
      </w:pPr>
      <w:r>
        <w:rPr>
          <w:rFonts w:hint="eastAsia" w:cs="宋体"/>
          <w:kern w:val="0"/>
          <w:szCs w:val="21"/>
        </w:rPr>
        <w:t>（5）乙方推荐使用中性复印纸，如因甲方使用不干胶纸、硫酸纸、皮纹纸等或其它不适用的纸张造成机器损坏的。</w:t>
      </w:r>
    </w:p>
    <w:p w14:paraId="0963A8BA">
      <w:pPr>
        <w:adjustRightInd w:val="0"/>
        <w:snapToGrid w:val="0"/>
        <w:spacing w:line="360" w:lineRule="auto"/>
        <w:ind w:firstLine="420" w:firstLineChars="200"/>
        <w:rPr>
          <w:rFonts w:hint="eastAsia" w:cs="宋体"/>
          <w:kern w:val="0"/>
          <w:szCs w:val="21"/>
        </w:rPr>
      </w:pPr>
      <w:r>
        <w:rPr>
          <w:rFonts w:hint="eastAsia" w:cs="宋体"/>
          <w:kern w:val="0"/>
          <w:szCs w:val="21"/>
        </w:rPr>
        <w:t>（6）将订书针、大头针等带入机器内部将鼓组件等划伤，引起印品不清晰。</w:t>
      </w:r>
    </w:p>
    <w:p w14:paraId="0FEA7D60">
      <w:pPr>
        <w:adjustRightInd w:val="0"/>
        <w:snapToGrid w:val="0"/>
        <w:spacing w:line="360" w:lineRule="auto"/>
        <w:ind w:firstLine="420" w:firstLineChars="200"/>
        <w:rPr>
          <w:rFonts w:hint="eastAsia" w:cs="宋体"/>
          <w:kern w:val="0"/>
          <w:szCs w:val="21"/>
        </w:rPr>
      </w:pPr>
      <w:r>
        <w:rPr>
          <w:rFonts w:hint="eastAsia" w:cs="宋体"/>
          <w:kern w:val="0"/>
          <w:szCs w:val="21"/>
        </w:rPr>
        <w:t>6．如因卡纸、受潮等原因造成的轻微故障，甲方可自行拆开外壳排除故障，不视为擅自拆卸。除人力不可抗拒的自然灾害造成的损失之外，凡因甲方责任造成的设备损坏，甲方应照价赔偿给乙方。</w:t>
      </w:r>
    </w:p>
    <w:p w14:paraId="7E3967B8">
      <w:pPr>
        <w:adjustRightInd w:val="0"/>
        <w:snapToGrid w:val="0"/>
        <w:spacing w:line="360" w:lineRule="auto"/>
        <w:ind w:firstLine="420" w:firstLineChars="200"/>
        <w:rPr>
          <w:rFonts w:hint="eastAsia" w:cs="宋体"/>
          <w:kern w:val="0"/>
          <w:szCs w:val="21"/>
        </w:rPr>
      </w:pPr>
      <w:r>
        <w:rPr>
          <w:rFonts w:hint="eastAsia" w:cs="宋体"/>
          <w:kern w:val="0"/>
          <w:szCs w:val="21"/>
        </w:rPr>
        <w:t>7．甲方应于合同终止时立即将上述机器设备归还乙方，否则乙方有权不经催告，将上述机器设备由放置地点直接折回，在此情况下甲方不得提出任何异议或诉情。</w:t>
      </w:r>
    </w:p>
    <w:p w14:paraId="266CEFD1">
      <w:pPr>
        <w:adjustRightInd w:val="0"/>
        <w:snapToGrid w:val="0"/>
        <w:spacing w:before="156" w:beforeLines="50" w:line="360" w:lineRule="auto"/>
        <w:ind w:firstLine="422" w:firstLineChars="200"/>
        <w:rPr>
          <w:rFonts w:hint="eastAsia" w:hAnsi="宋体"/>
          <w:b/>
          <w:szCs w:val="21"/>
        </w:rPr>
      </w:pPr>
      <w:r>
        <w:rPr>
          <w:rFonts w:hint="eastAsia" w:hAnsi="宋体"/>
          <w:b/>
          <w:szCs w:val="21"/>
        </w:rPr>
        <w:t>七、合同违约及合同解除</w:t>
      </w:r>
    </w:p>
    <w:p w14:paraId="61BF7E99">
      <w:pPr>
        <w:adjustRightInd w:val="0"/>
        <w:snapToGrid w:val="0"/>
        <w:spacing w:line="360" w:lineRule="auto"/>
        <w:ind w:firstLine="420" w:firstLineChars="200"/>
        <w:rPr>
          <w:rFonts w:hint="eastAsia" w:cs="宋体"/>
          <w:kern w:val="0"/>
          <w:szCs w:val="21"/>
        </w:rPr>
      </w:pPr>
      <w:r>
        <w:rPr>
          <w:rFonts w:hint="eastAsia" w:cs="宋体"/>
          <w:kern w:val="0"/>
          <w:szCs w:val="21"/>
        </w:rPr>
        <w:t>1．甲方逾期1个月不支付租赁费用，乙方有权收回上述机器设备。</w:t>
      </w:r>
    </w:p>
    <w:p w14:paraId="2A720BEB">
      <w:pPr>
        <w:adjustRightInd w:val="0"/>
        <w:snapToGrid w:val="0"/>
        <w:spacing w:line="360" w:lineRule="auto"/>
        <w:ind w:firstLine="420" w:firstLineChars="200"/>
        <w:rPr>
          <w:rFonts w:hint="eastAsia" w:cs="宋体"/>
          <w:kern w:val="0"/>
          <w:szCs w:val="21"/>
        </w:rPr>
      </w:pPr>
      <w:r>
        <w:rPr>
          <w:rFonts w:hint="eastAsia" w:cs="宋体"/>
          <w:kern w:val="0"/>
          <w:szCs w:val="21"/>
        </w:rPr>
        <w:t>2．甲方在租赁期内如需提前终止合同，应提前30日书面通知乙方，并须向乙方支付剩余租赁期的基本租费作为赔偿，本合同方可终止。（数码商务中心因后勤处业务调整而导致合同提前终止，甲方无须支付赔偿金）</w:t>
      </w:r>
    </w:p>
    <w:p w14:paraId="1C8B420F">
      <w:pPr>
        <w:adjustRightInd w:val="0"/>
        <w:snapToGrid w:val="0"/>
        <w:spacing w:line="360" w:lineRule="auto"/>
        <w:ind w:firstLine="420" w:firstLineChars="200"/>
        <w:rPr>
          <w:rFonts w:hint="eastAsia" w:cs="宋体"/>
          <w:kern w:val="0"/>
          <w:szCs w:val="21"/>
        </w:rPr>
      </w:pPr>
      <w:r>
        <w:rPr>
          <w:rFonts w:hint="eastAsia" w:cs="宋体"/>
          <w:kern w:val="0"/>
          <w:szCs w:val="21"/>
        </w:rPr>
        <w:t>3．甲方违约给乙方造成的实际损失，甲方应按乙方的实际损失（设备折旧后价值）赔偿。</w:t>
      </w:r>
    </w:p>
    <w:p w14:paraId="333DD950">
      <w:pPr>
        <w:adjustRightInd w:val="0"/>
        <w:snapToGrid w:val="0"/>
        <w:spacing w:line="360" w:lineRule="auto"/>
        <w:ind w:firstLine="420" w:firstLineChars="200"/>
        <w:rPr>
          <w:rFonts w:hint="eastAsia" w:cs="宋体"/>
          <w:kern w:val="0"/>
          <w:szCs w:val="21"/>
        </w:rPr>
      </w:pPr>
      <w:r>
        <w:rPr>
          <w:rFonts w:hint="eastAsia" w:cs="宋体"/>
          <w:kern w:val="0"/>
          <w:szCs w:val="21"/>
        </w:rPr>
        <w:t>4．合同一方违反本合同约定，致使本合同无法继续履行，守约方有权解除合同。</w:t>
      </w:r>
    </w:p>
    <w:p w14:paraId="32029A81">
      <w:pPr>
        <w:adjustRightInd w:val="0"/>
        <w:snapToGrid w:val="0"/>
        <w:spacing w:line="360" w:lineRule="auto"/>
        <w:ind w:firstLine="420" w:firstLineChars="200"/>
        <w:rPr>
          <w:rFonts w:hint="eastAsia" w:cs="宋体"/>
          <w:kern w:val="0"/>
          <w:szCs w:val="21"/>
        </w:rPr>
      </w:pPr>
      <w:r>
        <w:rPr>
          <w:rFonts w:hint="eastAsia" w:cs="宋体"/>
          <w:kern w:val="0"/>
          <w:szCs w:val="21"/>
        </w:rPr>
        <w:t>5．甲方欲将机器设备搬离约定地点，经乙方确认放置地点不在乙方服务区域内，乙方有权解除合同</w:t>
      </w:r>
    </w:p>
    <w:p w14:paraId="302591A7">
      <w:pPr>
        <w:adjustRightInd w:val="0"/>
        <w:snapToGrid w:val="0"/>
        <w:spacing w:line="360" w:lineRule="auto"/>
        <w:ind w:firstLine="420" w:firstLineChars="200"/>
        <w:rPr>
          <w:szCs w:val="21"/>
        </w:rPr>
      </w:pPr>
      <w:r>
        <w:rPr>
          <w:rFonts w:hint="eastAsia"/>
          <w:szCs w:val="21"/>
        </w:rPr>
        <w:t>6．</w:t>
      </w:r>
      <w:r>
        <w:rPr>
          <w:rFonts w:hAnsi="宋体"/>
          <w:szCs w:val="21"/>
        </w:rPr>
        <w:t>甲方和乙方具有同等的法律申诉权。双方应本着友好合作与共同发展的精神，就本协议书未尽</w:t>
      </w:r>
      <w:r>
        <w:rPr>
          <w:rFonts w:cs="宋体"/>
          <w:kern w:val="0"/>
          <w:szCs w:val="21"/>
        </w:rPr>
        <w:t>事宜</w:t>
      </w:r>
      <w:r>
        <w:rPr>
          <w:rFonts w:hAnsi="宋体"/>
          <w:szCs w:val="21"/>
        </w:rPr>
        <w:t>或有关在执行本合同过程中出现的问题进行协商解决。在双方无法协调的情况下，任何一方有权向有管辖权的人民法院起诉。</w:t>
      </w:r>
    </w:p>
    <w:p w14:paraId="25A03421">
      <w:pPr>
        <w:adjustRightInd w:val="0"/>
        <w:snapToGrid w:val="0"/>
        <w:spacing w:line="360" w:lineRule="auto"/>
        <w:ind w:firstLine="420" w:firstLineChars="200"/>
        <w:rPr>
          <w:rFonts w:hint="eastAsia" w:hAnsi="宋体"/>
          <w:szCs w:val="21"/>
        </w:rPr>
      </w:pPr>
      <w:r>
        <w:rPr>
          <w:rFonts w:hint="eastAsia"/>
          <w:szCs w:val="21"/>
        </w:rPr>
        <w:t>7．</w:t>
      </w:r>
      <w:r>
        <w:rPr>
          <w:rFonts w:hAnsi="宋体"/>
          <w:szCs w:val="21"/>
        </w:rPr>
        <w:t>因不可抗力造成的</w:t>
      </w:r>
      <w:r>
        <w:rPr>
          <w:rFonts w:hint="eastAsia" w:hAnsi="宋体"/>
          <w:szCs w:val="21"/>
        </w:rPr>
        <w:t>合同解除</w:t>
      </w:r>
      <w:r>
        <w:rPr>
          <w:szCs w:val="21"/>
        </w:rPr>
        <w:t>（</w:t>
      </w:r>
      <w:r>
        <w:rPr>
          <w:rFonts w:hAnsi="宋体"/>
          <w:szCs w:val="21"/>
        </w:rPr>
        <w:t>含华南理工大学后勤处相关政策规定</w:t>
      </w:r>
      <w:r>
        <w:rPr>
          <w:szCs w:val="21"/>
        </w:rPr>
        <w:t>）</w:t>
      </w:r>
      <w:r>
        <w:rPr>
          <w:rFonts w:hAnsi="宋体"/>
          <w:szCs w:val="21"/>
        </w:rPr>
        <w:t>，双方均不向对方承担责任。</w:t>
      </w:r>
    </w:p>
    <w:p w14:paraId="5C943030">
      <w:pPr>
        <w:adjustRightInd w:val="0"/>
        <w:snapToGrid w:val="0"/>
        <w:spacing w:before="156" w:beforeLines="50" w:line="360" w:lineRule="auto"/>
        <w:ind w:firstLine="422" w:firstLineChars="200"/>
        <w:rPr>
          <w:rFonts w:hAnsi="宋体"/>
          <w:b/>
          <w:szCs w:val="21"/>
        </w:rPr>
      </w:pPr>
      <w:r>
        <w:rPr>
          <w:rFonts w:hint="eastAsia" w:hAnsi="宋体"/>
          <w:b/>
          <w:szCs w:val="21"/>
        </w:rPr>
        <w:t>八、其他</w:t>
      </w:r>
    </w:p>
    <w:p w14:paraId="37F9DF67">
      <w:pPr>
        <w:spacing w:line="440" w:lineRule="exact"/>
        <w:ind w:firstLine="420" w:firstLineChars="200"/>
        <w:rPr>
          <w:szCs w:val="21"/>
        </w:rPr>
      </w:pPr>
      <w:r>
        <w:rPr>
          <w:rFonts w:hint="eastAsia"/>
          <w:szCs w:val="21"/>
        </w:rPr>
        <w:t>1．</w:t>
      </w:r>
      <w:r>
        <w:rPr>
          <w:rFonts w:hAnsi="宋体"/>
          <w:szCs w:val="21"/>
        </w:rPr>
        <w:t>本合同一式四份，自双方代表签字盖章后生效，甲方执三份，乙方执一份，并具有同等法律效用。</w:t>
      </w:r>
    </w:p>
    <w:p w14:paraId="66A50423">
      <w:pPr>
        <w:spacing w:line="440" w:lineRule="exact"/>
        <w:ind w:firstLine="420" w:firstLineChars="200"/>
        <w:rPr>
          <w:szCs w:val="21"/>
        </w:rPr>
      </w:pPr>
      <w:r>
        <w:rPr>
          <w:rFonts w:hint="eastAsia"/>
          <w:szCs w:val="21"/>
        </w:rPr>
        <w:t>2．</w:t>
      </w:r>
      <w:r>
        <w:rPr>
          <w:rFonts w:hAnsi="宋体"/>
          <w:szCs w:val="21"/>
        </w:rPr>
        <w:t>履行中的补充条款同本合同具有同等法律效力。</w:t>
      </w:r>
    </w:p>
    <w:p w14:paraId="3AA1D0B2">
      <w:pPr>
        <w:spacing w:line="440" w:lineRule="exact"/>
        <w:ind w:firstLine="420" w:firstLineChars="200"/>
        <w:rPr>
          <w:szCs w:val="21"/>
        </w:rPr>
      </w:pPr>
      <w:r>
        <w:rPr>
          <w:rFonts w:hint="eastAsia"/>
          <w:szCs w:val="21"/>
        </w:rPr>
        <w:t>3．</w:t>
      </w:r>
      <w:r>
        <w:rPr>
          <w:rFonts w:hAnsi="宋体"/>
          <w:szCs w:val="21"/>
        </w:rPr>
        <w:t>甲乙双方在供应商</w:t>
      </w:r>
      <w:r>
        <w:rPr>
          <w:rFonts w:hint="eastAsia" w:hAnsi="宋体"/>
          <w:szCs w:val="21"/>
        </w:rPr>
        <w:t>遴选</w:t>
      </w:r>
      <w:r>
        <w:rPr>
          <w:rFonts w:hAnsi="宋体"/>
          <w:szCs w:val="21"/>
        </w:rPr>
        <w:t>中的有关文件、协议是本合同的附件，对双方具有法律约束力。</w:t>
      </w:r>
    </w:p>
    <w:p w14:paraId="01928B1A">
      <w:pPr>
        <w:adjustRightInd w:val="0"/>
        <w:snapToGrid w:val="0"/>
        <w:spacing w:line="360" w:lineRule="atLeast"/>
        <w:rPr>
          <w:rFonts w:hint="eastAsia" w:cs="宋体"/>
          <w:kern w:val="0"/>
          <w:szCs w:val="21"/>
        </w:rPr>
      </w:pPr>
    </w:p>
    <w:p w14:paraId="7669FA4C">
      <w:pPr>
        <w:adjustRightInd w:val="0"/>
        <w:snapToGrid w:val="0"/>
        <w:spacing w:line="360" w:lineRule="atLeast"/>
        <w:rPr>
          <w:rFonts w:hint="eastAsia" w:cs="宋体"/>
          <w:kern w:val="0"/>
          <w:szCs w:val="21"/>
        </w:rPr>
      </w:pPr>
    </w:p>
    <w:p w14:paraId="26F649C7">
      <w:pPr>
        <w:jc w:val="center"/>
        <w:rPr>
          <w:rFonts w:hint="eastAsia"/>
          <w:b/>
          <w:bCs/>
          <w:sz w:val="30"/>
        </w:rPr>
      </w:pPr>
      <w:r>
        <w:rPr>
          <w:rFonts w:hint="eastAsia"/>
          <w:b/>
          <w:bCs/>
          <w:sz w:val="30"/>
        </w:rPr>
        <w:t xml:space="preserve"> </w:t>
      </w:r>
    </w:p>
    <w:p w14:paraId="26E02272">
      <w:pPr>
        <w:tabs>
          <w:tab w:val="left" w:pos="4820"/>
        </w:tabs>
        <w:spacing w:line="480" w:lineRule="auto"/>
        <w:ind w:left="560"/>
        <w:rPr>
          <w:szCs w:val="21"/>
        </w:rPr>
      </w:pPr>
      <w:r>
        <w:rPr>
          <w:rFonts w:hAnsi="宋体"/>
          <w:szCs w:val="21"/>
        </w:rPr>
        <w:t>甲方</w:t>
      </w:r>
      <w:r>
        <w:rPr>
          <w:szCs w:val="21"/>
        </w:rPr>
        <w:t>（</w:t>
      </w:r>
      <w:r>
        <w:rPr>
          <w:rFonts w:hAnsi="宋体"/>
          <w:szCs w:val="21"/>
        </w:rPr>
        <w:t>加盖公章</w:t>
      </w:r>
      <w:r>
        <w:rPr>
          <w:szCs w:val="21"/>
        </w:rPr>
        <w:t>）</w:t>
      </w:r>
      <w:r>
        <w:rPr>
          <w:rFonts w:hAnsi="宋体"/>
          <w:szCs w:val="21"/>
        </w:rPr>
        <w:t>：</w:t>
      </w:r>
      <w:r>
        <w:rPr>
          <w:rFonts w:hint="eastAsia" w:ascii="宋体" w:hAnsi="宋体"/>
          <w:szCs w:val="21"/>
        </w:rPr>
        <w:t xml:space="preserve">                       </w:t>
      </w:r>
      <w:r>
        <w:rPr>
          <w:rFonts w:hAnsi="宋体"/>
          <w:szCs w:val="21"/>
        </w:rPr>
        <w:t>乙方</w:t>
      </w:r>
      <w:r>
        <w:rPr>
          <w:szCs w:val="21"/>
        </w:rPr>
        <w:t>（</w:t>
      </w:r>
      <w:r>
        <w:rPr>
          <w:rFonts w:hAnsi="宋体"/>
          <w:szCs w:val="21"/>
        </w:rPr>
        <w:t>加盖公章</w:t>
      </w:r>
      <w:r>
        <w:rPr>
          <w:szCs w:val="21"/>
        </w:rPr>
        <w:t>）</w:t>
      </w:r>
      <w:r>
        <w:rPr>
          <w:rFonts w:hAnsi="宋体"/>
          <w:szCs w:val="21"/>
        </w:rPr>
        <w:t>：</w:t>
      </w:r>
      <w:r>
        <w:rPr>
          <w:rFonts w:hint="eastAsia" w:ascii="宋体" w:hAnsi="宋体"/>
          <w:szCs w:val="21"/>
        </w:rPr>
        <w:t xml:space="preserve"> </w:t>
      </w:r>
    </w:p>
    <w:p w14:paraId="4B88AD71">
      <w:pPr>
        <w:spacing w:line="480" w:lineRule="auto"/>
        <w:ind w:left="560"/>
        <w:rPr>
          <w:szCs w:val="21"/>
        </w:rPr>
      </w:pPr>
      <w:r>
        <w:rPr>
          <w:rFonts w:hAnsi="宋体"/>
          <w:szCs w:val="21"/>
        </w:rPr>
        <w:t>代表签字：</w:t>
      </w:r>
      <w:r>
        <w:rPr>
          <w:szCs w:val="21"/>
        </w:rPr>
        <w:t xml:space="preserve">                              </w:t>
      </w:r>
      <w:r>
        <w:rPr>
          <w:rFonts w:hAnsi="宋体"/>
          <w:szCs w:val="21"/>
        </w:rPr>
        <w:t>代表签字：</w:t>
      </w:r>
    </w:p>
    <w:p w14:paraId="03166D09">
      <w:pPr>
        <w:spacing w:line="480" w:lineRule="auto"/>
        <w:ind w:left="560"/>
        <w:rPr>
          <w:szCs w:val="21"/>
        </w:rPr>
      </w:pPr>
      <w:r>
        <w:rPr>
          <w:rFonts w:hAnsi="宋体"/>
          <w:szCs w:val="21"/>
        </w:rPr>
        <w:t>地址：</w:t>
      </w:r>
      <w:r>
        <w:rPr>
          <w:rFonts w:hint="eastAsia" w:ascii="宋体" w:hAnsi="宋体"/>
          <w:szCs w:val="21"/>
        </w:rPr>
        <w:t xml:space="preserve">                    </w:t>
      </w:r>
      <w:r>
        <w:rPr>
          <w:szCs w:val="21"/>
        </w:rPr>
        <w:t xml:space="preserve">              </w:t>
      </w:r>
      <w:r>
        <w:rPr>
          <w:rFonts w:hAnsi="宋体"/>
          <w:szCs w:val="21"/>
        </w:rPr>
        <w:t>地址：</w:t>
      </w:r>
      <w:r>
        <w:rPr>
          <w:rFonts w:hint="eastAsia" w:ascii="宋体" w:hAnsi="宋体"/>
          <w:szCs w:val="21"/>
        </w:rPr>
        <w:t xml:space="preserve"> </w:t>
      </w:r>
    </w:p>
    <w:p w14:paraId="6A7B09F5">
      <w:pPr>
        <w:spacing w:line="480" w:lineRule="auto"/>
        <w:ind w:left="560"/>
        <w:rPr>
          <w:szCs w:val="21"/>
        </w:rPr>
      </w:pPr>
      <w:r>
        <w:rPr>
          <w:rFonts w:hAnsi="宋体"/>
          <w:szCs w:val="21"/>
        </w:rPr>
        <w:t>联系电话：</w:t>
      </w:r>
      <w:r>
        <w:rPr>
          <w:rFonts w:hint="eastAsia"/>
          <w:szCs w:val="21"/>
        </w:rPr>
        <w:t xml:space="preserve">          </w:t>
      </w:r>
      <w:r>
        <w:rPr>
          <w:szCs w:val="21"/>
        </w:rPr>
        <w:t xml:space="preserve">                    </w:t>
      </w:r>
      <w:r>
        <w:rPr>
          <w:rFonts w:hAnsi="宋体"/>
          <w:szCs w:val="21"/>
        </w:rPr>
        <w:t>联系电话：</w:t>
      </w:r>
      <w:r>
        <w:rPr>
          <w:rFonts w:hint="eastAsia"/>
          <w:szCs w:val="21"/>
        </w:rPr>
        <w:t xml:space="preserve"> </w:t>
      </w:r>
    </w:p>
    <w:p w14:paraId="6ABAB04D">
      <w:pPr>
        <w:spacing w:line="480" w:lineRule="auto"/>
        <w:ind w:left="560"/>
        <w:rPr>
          <w:szCs w:val="21"/>
        </w:rPr>
      </w:pPr>
      <w:r>
        <w:rPr>
          <w:rFonts w:hAnsi="宋体"/>
          <w:szCs w:val="21"/>
        </w:rPr>
        <w:t>日</w:t>
      </w:r>
      <w:r>
        <w:rPr>
          <w:szCs w:val="21"/>
        </w:rPr>
        <w:t xml:space="preserve"> </w:t>
      </w:r>
      <w:r>
        <w:rPr>
          <w:rFonts w:hAnsi="宋体"/>
          <w:szCs w:val="21"/>
        </w:rPr>
        <w:t>期：</w:t>
      </w:r>
      <w:r>
        <w:rPr>
          <w:szCs w:val="21"/>
        </w:rPr>
        <w:t xml:space="preserve"> </w:t>
      </w:r>
      <w:r>
        <w:rPr>
          <w:rFonts w:hint="eastAsia"/>
          <w:szCs w:val="21"/>
        </w:rPr>
        <w:t xml:space="preserve">   </w:t>
      </w:r>
      <w:r>
        <w:rPr>
          <w:szCs w:val="21"/>
        </w:rPr>
        <w:t xml:space="preserve">  </w:t>
      </w:r>
      <w:r>
        <w:rPr>
          <w:rFonts w:hAnsi="宋体"/>
          <w:szCs w:val="21"/>
        </w:rPr>
        <w:t>年</w:t>
      </w:r>
      <w:r>
        <w:rPr>
          <w:rFonts w:hint="eastAsia" w:hAnsi="宋体"/>
          <w:szCs w:val="21"/>
        </w:rPr>
        <w:t xml:space="preserve">  </w:t>
      </w:r>
      <w:r>
        <w:rPr>
          <w:szCs w:val="21"/>
        </w:rPr>
        <w:t xml:space="preserve"> </w:t>
      </w:r>
      <w:r>
        <w:rPr>
          <w:rFonts w:hAnsi="宋体"/>
          <w:szCs w:val="21"/>
        </w:rPr>
        <w:t>月</w:t>
      </w:r>
      <w:r>
        <w:rPr>
          <w:szCs w:val="21"/>
        </w:rPr>
        <w:t xml:space="preserve"> </w:t>
      </w:r>
      <w:r>
        <w:rPr>
          <w:rFonts w:hint="eastAsia"/>
          <w:szCs w:val="21"/>
        </w:rPr>
        <w:t xml:space="preserve">  </w:t>
      </w:r>
      <w:r>
        <w:rPr>
          <w:szCs w:val="21"/>
        </w:rPr>
        <w:t xml:space="preserve"> </w:t>
      </w:r>
      <w:r>
        <w:rPr>
          <w:rFonts w:hAnsi="宋体"/>
          <w:szCs w:val="21"/>
        </w:rPr>
        <w:t>日</w:t>
      </w:r>
      <w:r>
        <w:rPr>
          <w:szCs w:val="21"/>
        </w:rPr>
        <w:t xml:space="preserve">              </w:t>
      </w:r>
      <w:r>
        <w:rPr>
          <w:rFonts w:hAnsi="宋体"/>
          <w:szCs w:val="21"/>
        </w:rPr>
        <w:t>日</w:t>
      </w:r>
      <w:r>
        <w:rPr>
          <w:szCs w:val="21"/>
        </w:rPr>
        <w:t xml:space="preserve"> </w:t>
      </w:r>
      <w:r>
        <w:rPr>
          <w:rFonts w:hAnsi="宋体"/>
          <w:szCs w:val="21"/>
        </w:rPr>
        <w:t>期：</w:t>
      </w:r>
      <w:r>
        <w:rPr>
          <w:szCs w:val="21"/>
        </w:rPr>
        <w:t xml:space="preserve"> </w:t>
      </w:r>
      <w:r>
        <w:rPr>
          <w:rFonts w:hint="eastAsia"/>
          <w:szCs w:val="21"/>
        </w:rPr>
        <w:t xml:space="preserve">   </w:t>
      </w:r>
      <w:r>
        <w:rPr>
          <w:szCs w:val="21"/>
        </w:rPr>
        <w:t xml:space="preserve">  </w:t>
      </w:r>
      <w:r>
        <w:rPr>
          <w:rFonts w:hAnsi="宋体"/>
          <w:szCs w:val="21"/>
        </w:rPr>
        <w:t>年</w:t>
      </w:r>
      <w:r>
        <w:rPr>
          <w:szCs w:val="21"/>
        </w:rPr>
        <w:t xml:space="preserve"> </w:t>
      </w:r>
      <w:r>
        <w:rPr>
          <w:rFonts w:hint="eastAsia"/>
          <w:szCs w:val="21"/>
        </w:rPr>
        <w:t xml:space="preserve"> </w:t>
      </w:r>
      <w:r>
        <w:rPr>
          <w:szCs w:val="21"/>
        </w:rPr>
        <w:t xml:space="preserve"> </w:t>
      </w:r>
      <w:r>
        <w:rPr>
          <w:rFonts w:hAnsi="宋体"/>
          <w:szCs w:val="21"/>
        </w:rPr>
        <w:t>月</w:t>
      </w:r>
      <w:r>
        <w:rPr>
          <w:rFonts w:hint="eastAsia" w:hAnsi="宋体"/>
          <w:szCs w:val="21"/>
        </w:rPr>
        <w:t xml:space="preserve">  </w:t>
      </w:r>
      <w:r>
        <w:rPr>
          <w:szCs w:val="21"/>
        </w:rPr>
        <w:t xml:space="preserve">  </w:t>
      </w:r>
      <w:r>
        <w:rPr>
          <w:rFonts w:hAnsi="宋体"/>
          <w:szCs w:val="21"/>
        </w:rPr>
        <w:t>日</w:t>
      </w:r>
    </w:p>
    <w:p w14:paraId="14DECC89">
      <w:pPr>
        <w:spacing w:line="480" w:lineRule="exact"/>
        <w:rPr>
          <w:rFonts w:hint="eastAsia"/>
          <w:b/>
          <w:bCs/>
          <w:sz w:val="28"/>
          <w:szCs w:val="28"/>
        </w:rPr>
      </w:pPr>
    </w:p>
    <w:p w14:paraId="441513F5">
      <w:pPr>
        <w:spacing w:line="480" w:lineRule="exact"/>
        <w:rPr>
          <w:rFonts w:hint="eastAsia"/>
          <w:b/>
          <w:bCs/>
          <w:sz w:val="28"/>
          <w:szCs w:val="28"/>
        </w:rPr>
      </w:pPr>
    </w:p>
    <w:p w14:paraId="29BCF556">
      <w:pPr>
        <w:adjustRightInd w:val="0"/>
        <w:snapToGrid w:val="0"/>
        <w:spacing w:line="360" w:lineRule="auto"/>
        <w:ind w:firstLine="883" w:firstLineChars="200"/>
        <w:jc w:val="center"/>
        <w:rPr>
          <w:rFonts w:hint="eastAsia"/>
          <w:b/>
          <w:sz w:val="44"/>
          <w:szCs w:val="44"/>
        </w:rPr>
      </w:pPr>
    </w:p>
    <w:p w14:paraId="28F3D513"/>
    <w:sectPr>
      <w:pgSz w:w="11906" w:h="16838"/>
      <w:pgMar w:top="1418" w:right="1418" w:bottom="1418" w:left="1418" w:header="851" w:footer="851"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华文中宋">
    <w:panose1 w:val="02010600040101010101"/>
    <w:charset w:val="86"/>
    <w:family w:val="auto"/>
    <w:pitch w:val="default"/>
    <w:sig w:usb0="00000287" w:usb1="080F0000" w:usb2="00000000" w:usb3="00000000" w:csb0="0004009F" w:csb1="DFD70000"/>
  </w:font>
  <w:font w:name="华文宋体">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64B6"/>
    <w:rsid w:val="00001778"/>
    <w:rsid w:val="000220F0"/>
    <w:rsid w:val="00025759"/>
    <w:rsid w:val="000429BF"/>
    <w:rsid w:val="00046FFB"/>
    <w:rsid w:val="0006081C"/>
    <w:rsid w:val="00064858"/>
    <w:rsid w:val="00070C2C"/>
    <w:rsid w:val="00077CD5"/>
    <w:rsid w:val="000915B4"/>
    <w:rsid w:val="000971AB"/>
    <w:rsid w:val="000A4B9D"/>
    <w:rsid w:val="000B2E30"/>
    <w:rsid w:val="000E3BBF"/>
    <w:rsid w:val="000E5C1E"/>
    <w:rsid w:val="001122B6"/>
    <w:rsid w:val="001349A8"/>
    <w:rsid w:val="00175282"/>
    <w:rsid w:val="00181350"/>
    <w:rsid w:val="001B5CEC"/>
    <w:rsid w:val="001D72A3"/>
    <w:rsid w:val="001F2812"/>
    <w:rsid w:val="0020150F"/>
    <w:rsid w:val="00205B72"/>
    <w:rsid w:val="00213C0B"/>
    <w:rsid w:val="0022015A"/>
    <w:rsid w:val="00225E2E"/>
    <w:rsid w:val="00235F2C"/>
    <w:rsid w:val="00257667"/>
    <w:rsid w:val="00270922"/>
    <w:rsid w:val="00274324"/>
    <w:rsid w:val="00275089"/>
    <w:rsid w:val="00277339"/>
    <w:rsid w:val="002B36DB"/>
    <w:rsid w:val="002C2317"/>
    <w:rsid w:val="00332D55"/>
    <w:rsid w:val="003505E1"/>
    <w:rsid w:val="00372828"/>
    <w:rsid w:val="00380F8D"/>
    <w:rsid w:val="003A5A75"/>
    <w:rsid w:val="003F0D37"/>
    <w:rsid w:val="003F51D5"/>
    <w:rsid w:val="003F7163"/>
    <w:rsid w:val="004115BD"/>
    <w:rsid w:val="00433DB7"/>
    <w:rsid w:val="00433E82"/>
    <w:rsid w:val="0045015C"/>
    <w:rsid w:val="00450EA4"/>
    <w:rsid w:val="00477BA7"/>
    <w:rsid w:val="0049698B"/>
    <w:rsid w:val="004A1A71"/>
    <w:rsid w:val="004A60EF"/>
    <w:rsid w:val="004B02DA"/>
    <w:rsid w:val="004D3B9E"/>
    <w:rsid w:val="004D5FB6"/>
    <w:rsid w:val="004E44C1"/>
    <w:rsid w:val="004E7ADA"/>
    <w:rsid w:val="004F1940"/>
    <w:rsid w:val="004F68BB"/>
    <w:rsid w:val="00506C04"/>
    <w:rsid w:val="0051378B"/>
    <w:rsid w:val="0051572E"/>
    <w:rsid w:val="0052178F"/>
    <w:rsid w:val="00525633"/>
    <w:rsid w:val="00563213"/>
    <w:rsid w:val="0056529D"/>
    <w:rsid w:val="00576F07"/>
    <w:rsid w:val="005B6338"/>
    <w:rsid w:val="005C1C52"/>
    <w:rsid w:val="005D49AA"/>
    <w:rsid w:val="00616905"/>
    <w:rsid w:val="006320C1"/>
    <w:rsid w:val="00637F50"/>
    <w:rsid w:val="00670AA4"/>
    <w:rsid w:val="00674280"/>
    <w:rsid w:val="00697DED"/>
    <w:rsid w:val="006A5EE9"/>
    <w:rsid w:val="006B3B57"/>
    <w:rsid w:val="006B571F"/>
    <w:rsid w:val="006D3700"/>
    <w:rsid w:val="006E0307"/>
    <w:rsid w:val="006E2651"/>
    <w:rsid w:val="006E587C"/>
    <w:rsid w:val="006E70FA"/>
    <w:rsid w:val="006F1811"/>
    <w:rsid w:val="006F3A52"/>
    <w:rsid w:val="0071324F"/>
    <w:rsid w:val="00714EAD"/>
    <w:rsid w:val="007373AA"/>
    <w:rsid w:val="007479DF"/>
    <w:rsid w:val="007661B7"/>
    <w:rsid w:val="00773661"/>
    <w:rsid w:val="007867A0"/>
    <w:rsid w:val="007C068A"/>
    <w:rsid w:val="007C17EE"/>
    <w:rsid w:val="007F08C5"/>
    <w:rsid w:val="0081427B"/>
    <w:rsid w:val="00855636"/>
    <w:rsid w:val="00867C79"/>
    <w:rsid w:val="00881A6C"/>
    <w:rsid w:val="00887B4F"/>
    <w:rsid w:val="00893C5C"/>
    <w:rsid w:val="008B03DE"/>
    <w:rsid w:val="008D4A5E"/>
    <w:rsid w:val="009036D7"/>
    <w:rsid w:val="009117BC"/>
    <w:rsid w:val="00913A9C"/>
    <w:rsid w:val="00915D0E"/>
    <w:rsid w:val="00933107"/>
    <w:rsid w:val="00936029"/>
    <w:rsid w:val="00944BE4"/>
    <w:rsid w:val="00965DE5"/>
    <w:rsid w:val="009D1296"/>
    <w:rsid w:val="009F10A5"/>
    <w:rsid w:val="009F51A3"/>
    <w:rsid w:val="00A1520F"/>
    <w:rsid w:val="00A3437C"/>
    <w:rsid w:val="00A616C3"/>
    <w:rsid w:val="00A61E6C"/>
    <w:rsid w:val="00A8422E"/>
    <w:rsid w:val="00A8593C"/>
    <w:rsid w:val="00A8789D"/>
    <w:rsid w:val="00AA1837"/>
    <w:rsid w:val="00AC109C"/>
    <w:rsid w:val="00B05460"/>
    <w:rsid w:val="00B06964"/>
    <w:rsid w:val="00B17D67"/>
    <w:rsid w:val="00B27E86"/>
    <w:rsid w:val="00B33207"/>
    <w:rsid w:val="00B60C94"/>
    <w:rsid w:val="00B643F2"/>
    <w:rsid w:val="00BB76B0"/>
    <w:rsid w:val="00BC3D5A"/>
    <w:rsid w:val="00BD64B6"/>
    <w:rsid w:val="00BE3792"/>
    <w:rsid w:val="00BE3B36"/>
    <w:rsid w:val="00C057A9"/>
    <w:rsid w:val="00C060AA"/>
    <w:rsid w:val="00C150FF"/>
    <w:rsid w:val="00C1619C"/>
    <w:rsid w:val="00C3223D"/>
    <w:rsid w:val="00C4246B"/>
    <w:rsid w:val="00C43E0E"/>
    <w:rsid w:val="00C50C87"/>
    <w:rsid w:val="00C514EC"/>
    <w:rsid w:val="00C74BB6"/>
    <w:rsid w:val="00CA1282"/>
    <w:rsid w:val="00CD61BE"/>
    <w:rsid w:val="00CE0D2A"/>
    <w:rsid w:val="00CF35BC"/>
    <w:rsid w:val="00D00326"/>
    <w:rsid w:val="00D57CE7"/>
    <w:rsid w:val="00D62F12"/>
    <w:rsid w:val="00D8426A"/>
    <w:rsid w:val="00DA69DC"/>
    <w:rsid w:val="00DC1616"/>
    <w:rsid w:val="00DE1061"/>
    <w:rsid w:val="00DE5009"/>
    <w:rsid w:val="00DF0E9A"/>
    <w:rsid w:val="00DF5241"/>
    <w:rsid w:val="00E21AE2"/>
    <w:rsid w:val="00E270FD"/>
    <w:rsid w:val="00E34CF8"/>
    <w:rsid w:val="00E56908"/>
    <w:rsid w:val="00E73408"/>
    <w:rsid w:val="00E94800"/>
    <w:rsid w:val="00ED6814"/>
    <w:rsid w:val="00ED688F"/>
    <w:rsid w:val="00EE164C"/>
    <w:rsid w:val="00F0018B"/>
    <w:rsid w:val="00F17538"/>
    <w:rsid w:val="00F2029D"/>
    <w:rsid w:val="00F2698A"/>
    <w:rsid w:val="00F36DCF"/>
    <w:rsid w:val="00F5744C"/>
    <w:rsid w:val="00F763E7"/>
    <w:rsid w:val="00F845D1"/>
    <w:rsid w:val="00FB27DE"/>
    <w:rsid w:val="023B1E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4"/>
    <w:semiHidden/>
    <w:unhideWhenUsed/>
    <w:uiPriority w:val="99"/>
    <w:rPr>
      <w:sz w:val="18"/>
      <w:szCs w:val="18"/>
    </w:rPr>
  </w:style>
  <w:style w:type="paragraph" w:styleId="3">
    <w:name w:val="footer"/>
    <w:basedOn w:val="1"/>
    <w:link w:val="12"/>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11"/>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unhideWhenUsed/>
    <w:uiPriority w:val="99"/>
    <w:pPr>
      <w:widowControl/>
      <w:spacing w:before="100" w:beforeAutospacing="1" w:after="100" w:afterAutospacing="1"/>
      <w:jc w:val="left"/>
    </w:pPr>
    <w:rPr>
      <w:rFonts w:ascii="宋体" w:hAnsi="宋体" w:cs="宋体"/>
      <w:kern w:val="0"/>
      <w:sz w:val="24"/>
    </w:rPr>
  </w:style>
  <w:style w:type="table" w:styleId="7">
    <w:name w:val="Table Grid"/>
    <w:basedOn w:val="6"/>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Strong"/>
    <w:basedOn w:val="8"/>
    <w:qFormat/>
    <w:uiPriority w:val="22"/>
    <w:rPr>
      <w:b/>
      <w:bCs/>
    </w:rPr>
  </w:style>
  <w:style w:type="character" w:styleId="10">
    <w:name w:val="Hyperlink"/>
    <w:basedOn w:val="8"/>
    <w:semiHidden/>
    <w:unhideWhenUsed/>
    <w:uiPriority w:val="99"/>
    <w:rPr>
      <w:color w:val="0000FF"/>
      <w:u w:val="single"/>
    </w:rPr>
  </w:style>
  <w:style w:type="character" w:customStyle="1" w:styleId="11">
    <w:name w:val="页眉 Char"/>
    <w:basedOn w:val="8"/>
    <w:link w:val="4"/>
    <w:uiPriority w:val="99"/>
    <w:rPr>
      <w:sz w:val="18"/>
      <w:szCs w:val="18"/>
    </w:rPr>
  </w:style>
  <w:style w:type="character" w:customStyle="1" w:styleId="12">
    <w:name w:val="页脚 Char"/>
    <w:basedOn w:val="8"/>
    <w:link w:val="3"/>
    <w:uiPriority w:val="99"/>
    <w:rPr>
      <w:sz w:val="18"/>
      <w:szCs w:val="18"/>
    </w:rPr>
  </w:style>
  <w:style w:type="character" w:customStyle="1" w:styleId="13">
    <w:name w:val="apple-converted-space"/>
    <w:basedOn w:val="8"/>
    <w:uiPriority w:val="0"/>
  </w:style>
  <w:style w:type="character" w:customStyle="1" w:styleId="14">
    <w:name w:val="批注框文本 Char"/>
    <w:basedOn w:val="8"/>
    <w:link w:val="2"/>
    <w:semiHidden/>
    <w:uiPriority w:val="99"/>
    <w:rPr>
      <w:sz w:val="18"/>
      <w:szCs w:val="18"/>
    </w:rPr>
  </w:style>
  <w:style w:type="character" w:customStyle="1" w:styleId="15">
    <w:name w:val="font41"/>
    <w:basedOn w:val="8"/>
    <w:uiPriority w:val="0"/>
    <w:rPr>
      <w:rFonts w:ascii="华文宋体" w:hAnsi="华文宋体" w:eastAsia="华文宋体" w:cs="华文宋体"/>
      <w:color w:val="000000"/>
      <w:sz w:val="20"/>
      <w:szCs w:val="20"/>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ED825E-DF53-41C2-B8EF-A7DA768DDCF7}">
  <ds:schemaRefs/>
</ds:datastoreItem>
</file>

<file path=docProps/app.xml><?xml version="1.0" encoding="utf-8"?>
<Properties xmlns="http://schemas.openxmlformats.org/officeDocument/2006/extended-properties" xmlns:vt="http://schemas.openxmlformats.org/officeDocument/2006/docPropsVTypes">
  <Template>Normal</Template>
  <Pages>8</Pages>
  <Words>4134</Words>
  <Characters>4192</Characters>
  <Lines>34</Lines>
  <Paragraphs>9</Paragraphs>
  <TotalTime>23</TotalTime>
  <ScaleCrop>false</ScaleCrop>
  <LinksUpToDate>false</LinksUpToDate>
  <CharactersWithSpaces>4615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2023-04-23T08:41:00Z</dcterms:created>
  <dc:creator>PC</dc:creator>
  <cp:lastModifiedBy>燕城</cp:lastModifiedBy>
  <cp:lastPrinted>2022-04-27T02:22:00Z</cp:lastPrinted>
  <dcterms:modified xsi:type="dcterms:W3CDTF">2025-04-30T01:17:03Z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eyJoZGlkIjoiNmY0YzQ0MjI3NzUyNmU4OTAzYTlhNThkOGYyYWRhMmMiLCJ1c2VySWQiOiI3ODcyODE5NTgifQ==</vt:lpwstr>
  </property>
  <property fmtid="{D5CDD505-2E9C-101B-9397-08002B2CF9AE}" pid="3" name="KSOProductBuildVer">
    <vt:lpwstr>2052-12.1.0.20784</vt:lpwstr>
  </property>
  <property fmtid="{D5CDD505-2E9C-101B-9397-08002B2CF9AE}" pid="4" name="ICV">
    <vt:lpwstr>B9117D4B30324999ACD905A63C96635B_12</vt:lpwstr>
  </property>
</Properties>
</file>