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B56655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center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30"/>
          <w:szCs w:val="30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30"/>
          <w:szCs w:val="30"/>
          <w:shd w:val="clear" w:fill="FFFFFF"/>
        </w:rPr>
        <w:t>【病原微生物中文名称】（【病原微生物英文名称】）病原微生物安全数据单（PSDS）</w:t>
      </w:r>
    </w:p>
    <w:p w14:paraId="62B9C41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1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病原微生物基本信息</w:t>
      </w:r>
    </w:p>
    <w:p w14:paraId="1B963D6D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1.1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微生物名称（中文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&amp;英文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）：</w:t>
      </w:r>
    </w:p>
    <w:p w14:paraId="4895C018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1.2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微生物别名/同义参考：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【如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有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，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请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填写】</w:t>
      </w:r>
    </w:p>
    <w:p w14:paraId="1A943F52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1.3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分类：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【填写界、门、纲、目、科、属】</w:t>
      </w:r>
    </w:p>
    <w:p w14:paraId="52826B48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1.4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形态学特征：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【描述形态、染色特性、培养特性、主要毒力因子等】</w:t>
      </w:r>
    </w:p>
    <w:p w14:paraId="70BB18ED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1.5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血清型/亚型：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【如适用，填写】</w:t>
      </w:r>
    </w:p>
    <w:p w14:paraId="281EBA4C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1.6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标准菌株编号：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【如适用，填写ATCC、CMCC、NCTC等编号】</w:t>
      </w:r>
    </w:p>
    <w:p w14:paraId="15388241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1.7 实验活动所需</w:t>
      </w:r>
      <w:commentRangeStart w:id="0"/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实验室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等级</w:t>
      </w:r>
      <w:commentRangeEnd w:id="0"/>
      <w:r>
        <w:commentReference w:id="0"/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感染性材料操作要求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BSL-2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实验室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，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动物感染实验要求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ABSL-2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实验室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等】</w:t>
      </w:r>
    </w:p>
    <w:p w14:paraId="5BED70D4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1.8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病原微生物分类（依据《人间传染的病原微生物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目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录》）：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【第三类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/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第四类】</w:t>
      </w:r>
    </w:p>
    <w:p w14:paraId="7CD05CF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auto"/>
        <w:ind w:left="0" w:right="0" w:firstLine="0"/>
        <w:textAlignment w:val="auto"/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lang w:eastAsia="zh-CN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2 危害识别</w:t>
      </w:r>
    </w:p>
    <w:p w14:paraId="2C893366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2.1 致病性</w:t>
      </w:r>
    </w:p>
    <w:p w14:paraId="3C05ADF9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描述病原微生物引起的疾病、致病机制、严重程度、病死率、高危人群等。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】</w:t>
      </w:r>
      <w:bookmarkStart w:id="0" w:name="_GoBack"/>
      <w:bookmarkEnd w:id="0"/>
    </w:p>
    <w:p w14:paraId="76967DBE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2.2 传染性</w:t>
      </w:r>
    </w:p>
    <w:p w14:paraId="6AB72F22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描述传染性、传染期、携带者状态等。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】</w:t>
      </w:r>
    </w:p>
    <w:p w14:paraId="69E18E58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2.3 </w:t>
      </w: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流行特征</w:t>
      </w:r>
    </w:p>
    <w:p w14:paraId="6749201B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【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-SA"/>
        </w:rPr>
        <w:t>描述疾病是否在人类或动物种群中流行以及是否形成自然疫源地</w:t>
      </w:r>
      <w:r>
        <w:rPr>
          <w:rFonts w:hint="eastAsia"/>
          <w:lang w:val="en-US" w:eastAsia="zh-CN"/>
        </w:rPr>
        <w:t>】</w:t>
      </w:r>
    </w:p>
    <w:p w14:paraId="21CBCE05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2.4 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宿主范围</w:t>
      </w:r>
    </w:p>
    <w:p w14:paraId="4820069E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人类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/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动物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/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人畜共患等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】</w:t>
      </w:r>
    </w:p>
    <w:p w14:paraId="00C1FCA3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2.5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感染剂量</w:t>
      </w:r>
    </w:p>
    <w:p w14:paraId="1B0E784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【描述感染剂量；如尚不明确，写“尚不明确”。】</w:t>
      </w:r>
    </w:p>
    <w:p w14:paraId="513BD64A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2.</w:t>
      </w: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潜伏期</w:t>
      </w:r>
    </w:p>
    <w:p w14:paraId="1F71798D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【描述潜伏期，如“通常为X天，范围Y–Z天”。】</w:t>
      </w:r>
    </w:p>
    <w:p w14:paraId="03FE1287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 w:line="360" w:lineRule="auto"/>
        <w:ind w:left="0" w:right="0" w:firstLine="0"/>
        <w:textAlignment w:val="auto"/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3 传播途径</w:t>
      </w:r>
    </w:p>
    <w:p w14:paraId="12A15B07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传播途径</w:t>
      </w: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</w:t>
      </w: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描述传播途径，如呼吸道飞沫、粪-口、接触、血液、虫媒等。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】</w:t>
      </w:r>
    </w:p>
    <w:p w14:paraId="53162956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传播媒介：【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描述病原微生物在环境中通过哪种传播媒介传播的，主要有生物媒介、空气、食物、土壤、物体表面等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】</w:t>
      </w:r>
    </w:p>
    <w:p w14:paraId="262EFD8A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 w:line="360" w:lineRule="auto"/>
        <w:ind w:left="0" w:right="0" w:firstLine="0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4 稳定性和环境存活力</w:t>
      </w:r>
    </w:p>
    <w:p w14:paraId="32A562AC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.1 体外存活时间</w:t>
      </w:r>
    </w:p>
    <w:tbl>
      <w:tblPr>
        <w:tblStyle w:val="7"/>
        <w:tblW w:w="8522" w:type="dxa"/>
        <w:tblInd w:w="-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159"/>
        <w:gridCol w:w="4363"/>
      </w:tblGrid>
      <w:tr w14:paraId="6D79E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7" w:hRule="atLeast"/>
          <w:tblHeader/>
        </w:trPr>
        <w:tc>
          <w:tcPr>
            <w:tcW w:w="415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37815D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介质/表面</w:t>
            </w:r>
          </w:p>
        </w:tc>
        <w:tc>
          <w:tcPr>
            <w:tcW w:w="4363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97C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存活时间</w:t>
            </w:r>
          </w:p>
        </w:tc>
      </w:tr>
      <w:tr w14:paraId="21605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3" w:hRule="atLeast"/>
        </w:trPr>
        <w:tc>
          <w:tcPr>
            <w:tcW w:w="41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5ACA1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459A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390C0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</w:trPr>
        <w:tc>
          <w:tcPr>
            <w:tcW w:w="415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2051E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4363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486B2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366B1839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.2 对抗生素的敏感性</w:t>
      </w:r>
    </w:p>
    <w:p w14:paraId="5C79AA55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【描述敏感药物、耐药情况、耐药机制等。注明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“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每种菌株的抗生素敏感性须单独测定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”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。】</w:t>
      </w:r>
    </w:p>
    <w:p w14:paraId="7D55A726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.3 对消毒剂的敏感性</w:t>
      </w:r>
    </w:p>
    <w:tbl>
      <w:tblPr>
        <w:tblStyle w:val="7"/>
        <w:tblW w:w="8522" w:type="dxa"/>
        <w:tblInd w:w="-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9"/>
        <w:gridCol w:w="2582"/>
        <w:gridCol w:w="3981"/>
      </w:tblGrid>
      <w:tr w14:paraId="4A305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5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79EBA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消毒剂</w:t>
            </w:r>
          </w:p>
        </w:tc>
        <w:tc>
          <w:tcPr>
            <w:tcW w:w="2582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6ED3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浓度/条件</w:t>
            </w:r>
          </w:p>
        </w:tc>
        <w:tc>
          <w:tcPr>
            <w:tcW w:w="3981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0D53D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有效性</w:t>
            </w:r>
          </w:p>
        </w:tc>
      </w:tr>
      <w:tr w14:paraId="5C956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5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FEFB2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8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49B4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9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17192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  <w:tr w14:paraId="7D9066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59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0" w:type="dxa"/>
              <w:left w:w="-1" w:type="dxa"/>
              <w:bottom w:w="150" w:type="dxa"/>
              <w:right w:w="240" w:type="dxa"/>
            </w:tcMar>
            <w:vAlign w:val="center"/>
          </w:tcPr>
          <w:p w14:paraId="6C722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582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3FC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398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150" w:type="dxa"/>
              <w:left w:w="240" w:type="dxa"/>
              <w:bottom w:w="150" w:type="dxa"/>
              <w:right w:w="-1" w:type="dxa"/>
            </w:tcMar>
            <w:vAlign w:val="center"/>
          </w:tcPr>
          <w:p w14:paraId="22C4A5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right="0" w:rightChars="0" w:firstLine="0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</w:p>
        </w:tc>
      </w:tr>
    </w:tbl>
    <w:p w14:paraId="4369BA9B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.4 物理灭活方法</w:t>
      </w:r>
    </w:p>
    <w:p w14:paraId="505D9615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湿热灭菌：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【如121°C至少15分钟】</w:t>
      </w:r>
    </w:p>
    <w:p w14:paraId="4F65D76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干热灭菌：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【如160–170°C至少1小时】</w:t>
      </w:r>
    </w:p>
    <w:p w14:paraId="167C5B6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其他：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【如紫外线、热处理、辐照等】</w:t>
      </w:r>
    </w:p>
    <w:p w14:paraId="51ED0CF7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 w:line="360" w:lineRule="auto"/>
        <w:ind w:left="0" w:right="0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2"/>
          <w:sz w:val="24"/>
          <w:szCs w:val="24"/>
          <w:shd w:val="clear" w:fill="FFFFFF"/>
          <w:lang w:val="en-US" w:eastAsia="zh-CN" w:bidi="ar"/>
        </w:rPr>
        <w:t>5 急救</w:t>
      </w:r>
    </w:p>
    <w:p w14:paraId="346B708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5.1 预防</w:t>
      </w:r>
    </w:p>
    <w:p w14:paraId="7AAD2101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【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针对具体病原微生物的个体免疫预防，说明是否有可接种的疫苗，以及是否可采用药物预防的可行性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】</w:t>
      </w:r>
    </w:p>
    <w:p w14:paraId="4951753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5.2 急救</w:t>
      </w:r>
    </w:p>
    <w:p w14:paraId="3EA6B90C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【</w:t>
      </w:r>
      <w:r>
        <w:rPr>
          <w:rFonts w:hint="eastAsia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主要描述受感染个体临床治疗的方法，以及急救中的生物安全防护措施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】</w:t>
      </w:r>
    </w:p>
    <w:p w14:paraId="5961D45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/>
        <w:ind w:right="0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6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实验室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危害</w:t>
      </w:r>
    </w:p>
    <w:p w14:paraId="747B78FF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实验室相关感染病例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【如有，填写病例数、死亡数、年份等；如无，写“截至现有文献，尚无明确报告”。】</w:t>
      </w:r>
    </w:p>
    <w:p w14:paraId="4E3DFB8F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主要实验室危害：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【列出主要暴露途径和操作风险，如气溶胶吸入、经口摄入、锐器伤、黏膜接触等。】</w:t>
      </w:r>
    </w:p>
    <w:p w14:paraId="21BAB614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感染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来源：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【列出常见标本类型，如血液、痰液、粪便、脑脊液、组织等。】</w:t>
      </w:r>
    </w:p>
    <w:p w14:paraId="33B31F04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/>
        <w:ind w:right="0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7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实验室暴露的预防措施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和意外暴露处理</w:t>
      </w:r>
    </w:p>
    <w:p w14:paraId="4E4B1594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.1 生物安全防护要求</w:t>
      </w:r>
    </w:p>
    <w:p w14:paraId="68D08531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【实验室等级要求，如活菌操作BSL-2，动物实验ABSL-2，样本检测BSL-2等。】</w:t>
      </w:r>
    </w:p>
    <w:p w14:paraId="72BBD74F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.2 个人防护装备（PPE）</w:t>
      </w:r>
    </w:p>
    <w:p w14:paraId="6AECDE4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【实验服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手套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护目镜/面罩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eastAsia="zh-CN"/>
        </w:rPr>
        <w:t>、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其他，如呼吸防护、鞋套等】</w:t>
      </w:r>
    </w:p>
    <w:p w14:paraId="4DA17226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7.</w:t>
      </w: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泄漏处理</w:t>
      </w:r>
    </w:p>
    <w:p w14:paraId="1E240EFF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【描述小规模/大规模泄漏处理步骤，包括：疏散、气溶胶沉降、个人防护、覆盖、消毒剂选择（如1%次氯酸钠）、接触时间（如30分钟）、清理处置等。】</w:t>
      </w:r>
    </w:p>
    <w:p w14:paraId="4DB464A7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7.</w:t>
      </w:r>
      <w:r>
        <w:rPr>
          <w:rFonts w:hint="eastAsia" w:ascii="Times New Roman" w:hAnsi="Times New Roman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 xml:space="preserve"> 人员暴露处理</w:t>
      </w:r>
    </w:p>
    <w:p w14:paraId="58DD7B4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皮肤接触：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【处理方式】</w:t>
      </w:r>
    </w:p>
    <w:p w14:paraId="7F65224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眼睛/黏膜接触：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【处理方式】</w:t>
      </w:r>
    </w:p>
    <w:p w14:paraId="1E5DD0B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吸入：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【处理方式】</w:t>
      </w:r>
    </w:p>
    <w:p w14:paraId="1B6E29F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摄入：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【处理方式】</w:t>
      </w:r>
    </w:p>
    <w:p w14:paraId="6834F6C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针刺/锐器伤：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【处理方式】</w:t>
      </w:r>
    </w:p>
    <w:p w14:paraId="5C1A46CC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/>
        <w:ind w:right="0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8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废物处置</w:t>
      </w:r>
    </w:p>
    <w:p w14:paraId="35918249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【描述废弃物分类、消毒灭菌方法（如121°C高压灭菌至少15分钟）、液体废物处理、锐器处置等。】</w:t>
      </w:r>
    </w:p>
    <w:p w14:paraId="3B0883AC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0" w:afterAutospacing="0"/>
        <w:ind w:right="0"/>
        <w:textAlignment w:val="auto"/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9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运输信息</w:t>
      </w:r>
    </w:p>
    <w:p w14:paraId="2518A8ED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根据《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人间传染的病原微生物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目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录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》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中运输包装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要求，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写明病原微生物属于A/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B类感染性物质，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运输包装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UN编号为【UN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XXX</w:t>
      </w: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】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。</w:t>
      </w:r>
    </w:p>
    <w:p w14:paraId="15BFA167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 w:line="360" w:lineRule="auto"/>
        <w:ind w:left="0" w:right="0"/>
        <w:textAlignment w:val="auto"/>
        <w:rPr>
          <w:rFonts w:hint="eastAsia" w:ascii="Times New Roman" w:hAnsi="Times New Roman" w:eastAsia="宋体" w:cs="Times New Roman"/>
          <w:b/>
          <w:bCs/>
          <w:color w:val="0F1115"/>
          <w:sz w:val="24"/>
          <w:szCs w:val="24"/>
          <w:shd w:val="clear" w:fill="FFFFFF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10 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参考文献</w:t>
      </w:r>
    </w:p>
    <w:p w14:paraId="06F3C08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[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]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【参考文献2，格式：作者. 题名. 来源. 年份.】</w:t>
      </w:r>
    </w:p>
    <w:p w14:paraId="48511EC2">
      <w:pPr>
        <w:pStyle w:val="6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</w:pPr>
    </w:p>
    <w:p w14:paraId="41CE494C">
      <w:pPr>
        <w:pStyle w:val="6"/>
        <w:keepNext w:val="0"/>
        <w:keepLines w:val="0"/>
        <w:pageBreakBefore w:val="0"/>
        <w:widowControl/>
        <w:suppressLineNumbers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color w:val="0F1115"/>
          <w:sz w:val="21"/>
          <w:szCs w:val="21"/>
          <w:shd w:val="clear" w:fill="FFFFFF"/>
        </w:rPr>
      </w:pPr>
      <w:r>
        <w:rPr>
          <w:rFonts w:hint="default"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编制依据：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F1115"/>
          <w:spacing w:val="0"/>
          <w:sz w:val="21"/>
          <w:szCs w:val="21"/>
          <w:shd w:val="clear" w:fill="FFFFFF"/>
        </w:rPr>
        <w:t>T/CMBA 018-2022《生物安全 病原微生物安全数据单描述指南》</w:t>
      </w:r>
    </w:p>
    <w:p w14:paraId="60D2A142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right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13B360B6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right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626038E6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right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</w:p>
    <w:p w14:paraId="7D28F3F5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right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编制人：        </w:t>
      </w:r>
    </w:p>
    <w:p w14:paraId="6D621713">
      <w:pPr>
        <w:pStyle w:val="6"/>
        <w:keepNext w:val="0"/>
        <w:keepLines w:val="0"/>
        <w:pageBreakBefore w:val="0"/>
        <w:widowControl/>
        <w:suppressLineNumbers w:val="0"/>
        <w:shd w:val="clear" w:fill="FFFFFF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jc w:val="right"/>
        <w:textAlignment w:val="auto"/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编制日期：</w:t>
      </w:r>
      <w:r>
        <w:rPr>
          <w:rFonts w:hint="eastAsia" w:ascii="Times New Roman" w:hAnsi="Times New Roman" w:eastAsia="宋体" w:cs="Times New Roman"/>
          <w:b/>
          <w:bCs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 xml:space="preserve">        </w:t>
      </w:r>
    </w:p>
    <w:p w14:paraId="6D89145D">
      <w:pPr>
        <w:pStyle w:val="6"/>
        <w:keepNext w:val="0"/>
        <w:keepLines w:val="0"/>
        <w:pageBreakBefore w:val="0"/>
        <w:widowControl/>
        <w:suppressLineNumbers w:val="0"/>
        <w:shd w:val="clear" w:fill="auto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ind w:left="0" w:right="0" w:firstLine="0"/>
        <w:textAlignment w:val="auto"/>
        <w:rPr>
          <w:rFonts w:hint="default" w:ascii="Times New Roman" w:hAnsi="Times New Roman" w:eastAsia="宋体" w:cs="Times New Roman"/>
          <w:color w:val="0F1115"/>
          <w:sz w:val="21"/>
          <w:szCs w:val="21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Bym" w:date="2026-09-28T14:53:54Z" w:initials="">
    <w:p w14:paraId="249523DA">
      <w:pPr>
        <w:pStyle w:val="5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提示可以细分一下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249523DA" w15:done="1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Bym">
    <w15:presenceInfo w15:providerId="WPS Office" w15:userId="208259871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113589"/>
    <w:rsid w:val="06113589"/>
    <w:rsid w:val="18481362"/>
    <w:rsid w:val="18AC1343"/>
    <w:rsid w:val="49502DB6"/>
    <w:rsid w:val="4C43303F"/>
    <w:rsid w:val="521F615B"/>
    <w:rsid w:val="69114331"/>
    <w:rsid w:val="7A2D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uiPriority w:val="0"/>
    <w:pPr>
      <w:jc w:val="left"/>
    </w:pPr>
  </w:style>
  <w:style w:type="paragraph" w:styleId="6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584</Words>
  <Characters>635</Characters>
  <Lines>0</Lines>
  <Paragraphs>0</Paragraphs>
  <TotalTime>8</TotalTime>
  <ScaleCrop>false</ScaleCrop>
  <LinksUpToDate>false</LinksUpToDate>
  <CharactersWithSpaces>652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2026-09-28T03:52:00Z</dcterms:created>
  <dc:creator>浓茶</dc:creator>
  <cp:lastModifiedBy>浓茶</cp:lastModifiedBy>
  <dcterms:modified xsi:type="dcterms:W3CDTF">2026-09-28T07:41:31Z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BC866F31D7C441B6AF5C4ED9F9A077B1_13</vt:lpwstr>
  </property>
  <property fmtid="{D5CDD505-2E9C-101B-9397-08002B2CF9AE}" pid="4" name="KSOTemplateDocerSaveRecord">
    <vt:lpwstr>eyJoZGlkIjoiOGIzZGM4MmMxMmIyYWIyOTlhMWY1ZmI0MmEyNWNkNzMiLCJ1c2VySWQiOiIzOTkwMzg1MDMifQ==</vt:lpwstr>
  </property>
</Properties>
</file>