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28"/>
          <w:szCs w:val="36"/>
        </w:rPr>
      </w:pPr>
      <w:r>
        <w:rPr>
          <w:rFonts w:hint="eastAsia"/>
          <w:b/>
          <w:bCs/>
          <w:sz w:val="28"/>
          <w:szCs w:val="36"/>
          <w:lang w:val="en-US" w:eastAsia="zh-CN"/>
        </w:rPr>
        <w:t>二、零星维修及土建工程项目协议施工单位遴选</w:t>
      </w:r>
      <w:r>
        <w:rPr>
          <w:rFonts w:hint="eastAsia"/>
          <w:b/>
          <w:bCs/>
          <w:sz w:val="28"/>
          <w:szCs w:val="36"/>
        </w:rPr>
        <w:t>评分标准</w:t>
      </w:r>
    </w:p>
    <w:p>
      <w:pPr>
        <w:pStyle w:val="2"/>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7"/>
        <w:gridCol w:w="1986"/>
        <w:gridCol w:w="1309"/>
        <w:gridCol w:w="6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dxa"/>
            <w:vAlign w:val="center"/>
          </w:tcPr>
          <w:p>
            <w:pPr>
              <w:spacing w:line="360" w:lineRule="auto"/>
              <w:jc w:val="center"/>
              <w:rPr>
                <w:rFonts w:ascii="宋体" w:hAnsi="宋体" w:eastAsia="宋体" w:cs="宋体"/>
                <w:b/>
                <w:bCs/>
                <w:sz w:val="24"/>
              </w:rPr>
            </w:pPr>
            <w:r>
              <w:rPr>
                <w:rFonts w:hint="eastAsia" w:ascii="宋体" w:hAnsi="宋体" w:eastAsia="宋体" w:cs="宋体"/>
                <w:b/>
                <w:bCs/>
                <w:sz w:val="24"/>
              </w:rPr>
              <w:t>序号</w:t>
            </w:r>
          </w:p>
        </w:tc>
        <w:tc>
          <w:tcPr>
            <w:tcW w:w="1986" w:type="dxa"/>
            <w:vAlign w:val="center"/>
          </w:tcPr>
          <w:p>
            <w:pPr>
              <w:spacing w:line="360" w:lineRule="auto"/>
              <w:jc w:val="center"/>
              <w:rPr>
                <w:rFonts w:ascii="宋体" w:hAnsi="宋体" w:eastAsia="宋体" w:cs="宋体"/>
                <w:b/>
                <w:bCs/>
                <w:sz w:val="24"/>
              </w:rPr>
            </w:pPr>
            <w:r>
              <w:rPr>
                <w:rFonts w:hint="eastAsia" w:ascii="宋体" w:hAnsi="宋体" w:eastAsia="宋体" w:cs="宋体"/>
                <w:b/>
                <w:bCs/>
                <w:sz w:val="24"/>
              </w:rPr>
              <w:t>评审项目</w:t>
            </w:r>
          </w:p>
        </w:tc>
        <w:tc>
          <w:tcPr>
            <w:tcW w:w="1309" w:type="dxa"/>
            <w:vAlign w:val="center"/>
          </w:tcPr>
          <w:p>
            <w:pPr>
              <w:spacing w:line="360" w:lineRule="auto"/>
              <w:jc w:val="center"/>
              <w:rPr>
                <w:rFonts w:ascii="宋体" w:hAnsi="宋体" w:eastAsia="宋体" w:cs="宋体"/>
                <w:b/>
                <w:bCs/>
                <w:sz w:val="24"/>
              </w:rPr>
            </w:pPr>
            <w:r>
              <w:rPr>
                <w:rFonts w:hint="eastAsia" w:ascii="宋体" w:hAnsi="宋体" w:eastAsia="宋体" w:cs="宋体"/>
                <w:b/>
                <w:bCs/>
                <w:sz w:val="24"/>
              </w:rPr>
              <w:t>单项分值</w:t>
            </w:r>
          </w:p>
        </w:tc>
        <w:tc>
          <w:tcPr>
            <w:tcW w:w="6569" w:type="dxa"/>
            <w:vAlign w:val="center"/>
          </w:tcPr>
          <w:p>
            <w:pPr>
              <w:spacing w:line="360" w:lineRule="auto"/>
              <w:jc w:val="center"/>
              <w:rPr>
                <w:rFonts w:ascii="宋体" w:hAnsi="宋体" w:eastAsia="宋体" w:cs="宋体"/>
                <w:b/>
                <w:bCs/>
                <w:sz w:val="24"/>
              </w:rPr>
            </w:pPr>
            <w:r>
              <w:rPr>
                <w:rFonts w:hint="eastAsia" w:ascii="宋体" w:hAnsi="宋体" w:eastAsia="宋体" w:cs="宋体"/>
                <w:b/>
                <w:bCs/>
                <w:sz w:val="24"/>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dxa"/>
            <w:vAlign w:val="center"/>
          </w:tcPr>
          <w:p>
            <w:pPr>
              <w:spacing w:line="360" w:lineRule="auto"/>
              <w:jc w:val="center"/>
              <w:rPr>
                <w:rFonts w:ascii="宋体" w:hAnsi="宋体" w:eastAsia="宋体" w:cs="宋体"/>
                <w:sz w:val="24"/>
              </w:rPr>
            </w:pPr>
            <w:r>
              <w:rPr>
                <w:rFonts w:hint="eastAsia" w:ascii="宋体" w:hAnsi="宋体" w:eastAsia="宋体" w:cs="宋体"/>
                <w:sz w:val="24"/>
              </w:rPr>
              <w:t>1</w:t>
            </w:r>
          </w:p>
        </w:tc>
        <w:tc>
          <w:tcPr>
            <w:tcW w:w="1986" w:type="dxa"/>
            <w:vAlign w:val="center"/>
          </w:tcPr>
          <w:p>
            <w:pPr>
              <w:spacing w:line="360" w:lineRule="auto"/>
              <w:jc w:val="center"/>
              <w:rPr>
                <w:rFonts w:ascii="宋体" w:hAnsi="宋体" w:eastAsia="宋体" w:cs="宋体"/>
                <w:sz w:val="24"/>
              </w:rPr>
            </w:pPr>
            <w:r>
              <w:rPr>
                <w:rFonts w:hint="eastAsia" w:ascii="宋体" w:hAnsi="宋体" w:eastAsia="宋体" w:cs="宋体"/>
                <w:sz w:val="24"/>
              </w:rPr>
              <w:t>施工进度计划及保证措施</w:t>
            </w:r>
          </w:p>
        </w:tc>
        <w:tc>
          <w:tcPr>
            <w:tcW w:w="1309" w:type="dxa"/>
            <w:vAlign w:val="center"/>
          </w:tcPr>
          <w:p>
            <w:pPr>
              <w:spacing w:line="360" w:lineRule="auto"/>
              <w:jc w:val="center"/>
              <w:rPr>
                <w:rFonts w:ascii="宋体" w:hAnsi="宋体" w:eastAsia="宋体" w:cs="宋体"/>
                <w:sz w:val="24"/>
              </w:rPr>
            </w:pPr>
            <w:r>
              <w:rPr>
                <w:rFonts w:hint="eastAsia" w:ascii="宋体" w:hAnsi="宋体" w:eastAsia="宋体" w:cs="宋体"/>
                <w:sz w:val="24"/>
              </w:rPr>
              <w:t>10</w:t>
            </w:r>
          </w:p>
        </w:tc>
        <w:tc>
          <w:tcPr>
            <w:tcW w:w="6569" w:type="dxa"/>
            <w:vAlign w:val="center"/>
          </w:tcPr>
          <w:p>
            <w:pPr>
              <w:spacing w:line="360" w:lineRule="auto"/>
              <w:rPr>
                <w:rFonts w:ascii="宋体" w:hAnsi="宋体" w:eastAsia="宋体" w:cs="宋体"/>
                <w:color w:val="FF0000"/>
                <w:sz w:val="24"/>
              </w:rPr>
            </w:pPr>
            <w:r>
              <w:rPr>
                <w:rFonts w:hint="eastAsia" w:ascii="宋体" w:hAnsi="宋体" w:eastAsia="宋体" w:cs="宋体"/>
                <w:sz w:val="24"/>
              </w:rPr>
              <w:t>（1）</w:t>
            </w:r>
            <w:r>
              <w:rPr>
                <w:rFonts w:hint="eastAsia" w:ascii="宋体" w:hAnsi="宋体" w:eastAsia="宋体" w:cs="宋体"/>
                <w:color w:val="auto"/>
                <w:sz w:val="24"/>
              </w:rPr>
              <w:t>有施工进度计划及保证措施：得</w:t>
            </w:r>
            <w:r>
              <w:rPr>
                <w:rFonts w:ascii="宋体" w:hAnsi="宋体" w:eastAsia="宋体" w:cs="宋体"/>
                <w:color w:val="auto"/>
                <w:sz w:val="24"/>
              </w:rPr>
              <w:t>4</w:t>
            </w:r>
            <w:r>
              <w:rPr>
                <w:rFonts w:hint="eastAsia" w:ascii="宋体" w:hAnsi="宋体" w:eastAsia="宋体" w:cs="宋体"/>
                <w:color w:val="auto"/>
                <w:sz w:val="24"/>
              </w:rPr>
              <w:t>分，无：本项得</w:t>
            </w:r>
            <w:r>
              <w:rPr>
                <w:rFonts w:ascii="宋体" w:hAnsi="宋体" w:eastAsia="宋体" w:cs="宋体"/>
                <w:color w:val="auto"/>
                <w:sz w:val="24"/>
              </w:rPr>
              <w:t>0</w:t>
            </w:r>
            <w:r>
              <w:rPr>
                <w:rFonts w:hint="eastAsia" w:ascii="宋体" w:hAnsi="宋体" w:eastAsia="宋体" w:cs="宋体"/>
                <w:color w:val="auto"/>
                <w:sz w:val="24"/>
              </w:rPr>
              <w:t>分。</w:t>
            </w:r>
          </w:p>
          <w:p>
            <w:pPr>
              <w:spacing w:line="360" w:lineRule="auto"/>
              <w:rPr>
                <w:rFonts w:ascii="宋体" w:hAnsi="宋体" w:eastAsia="宋体" w:cs="宋体"/>
                <w:sz w:val="24"/>
              </w:rPr>
            </w:pPr>
            <w:r>
              <w:rPr>
                <w:rFonts w:hint="eastAsia" w:ascii="宋体" w:hAnsi="宋体" w:eastAsia="宋体" w:cs="宋体"/>
                <w:sz w:val="24"/>
              </w:rPr>
              <w:t>（2）针对</w:t>
            </w:r>
            <w:r>
              <w:rPr>
                <w:rFonts w:hint="eastAsia" w:ascii="宋体" w:hAnsi="宋体" w:eastAsia="宋体" w:cs="宋体"/>
                <w:sz w:val="24"/>
                <w:lang w:eastAsia="zh-CN"/>
              </w:rPr>
              <w:t>本</w:t>
            </w:r>
            <w:r>
              <w:rPr>
                <w:rFonts w:hint="eastAsia" w:ascii="宋体" w:hAnsi="宋体" w:eastAsia="宋体" w:cs="宋体"/>
                <w:sz w:val="24"/>
              </w:rPr>
              <w:t>项目特点</w:t>
            </w:r>
            <w:r>
              <w:rPr>
                <w:rFonts w:hint="eastAsia" w:ascii="宋体" w:hAnsi="宋体" w:eastAsia="宋体" w:cs="宋体"/>
                <w:sz w:val="24"/>
                <w:lang w:eastAsia="zh-CN"/>
              </w:rPr>
              <w:t>和校区情况，</w:t>
            </w:r>
            <w:r>
              <w:rPr>
                <w:rFonts w:hint="eastAsia" w:ascii="宋体" w:hAnsi="宋体" w:eastAsia="宋体" w:cs="宋体"/>
                <w:sz w:val="24"/>
              </w:rPr>
              <w:t>编制施工总进度计划及保证措施，确保实现工程进度目标。优：得6分，中：得3分，差：得1分。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dxa"/>
            <w:vAlign w:val="center"/>
          </w:tcPr>
          <w:p>
            <w:pPr>
              <w:spacing w:line="360" w:lineRule="auto"/>
              <w:jc w:val="center"/>
              <w:rPr>
                <w:rFonts w:ascii="宋体" w:hAnsi="宋体" w:eastAsia="宋体" w:cs="宋体"/>
                <w:sz w:val="24"/>
              </w:rPr>
            </w:pPr>
            <w:r>
              <w:rPr>
                <w:rFonts w:hint="eastAsia" w:ascii="宋体" w:hAnsi="宋体" w:eastAsia="宋体" w:cs="宋体"/>
                <w:sz w:val="24"/>
              </w:rPr>
              <w:t>2</w:t>
            </w:r>
          </w:p>
        </w:tc>
        <w:tc>
          <w:tcPr>
            <w:tcW w:w="1986" w:type="dxa"/>
            <w:vAlign w:val="center"/>
          </w:tcPr>
          <w:p>
            <w:pPr>
              <w:spacing w:line="360" w:lineRule="auto"/>
              <w:jc w:val="center"/>
              <w:rPr>
                <w:rFonts w:ascii="宋体" w:hAnsi="宋体" w:eastAsia="宋体" w:cs="宋体"/>
                <w:sz w:val="24"/>
              </w:rPr>
            </w:pPr>
            <w:r>
              <w:rPr>
                <w:rFonts w:hint="eastAsia" w:ascii="宋体" w:hAnsi="宋体" w:eastAsia="宋体" w:cs="宋体"/>
                <w:sz w:val="24"/>
              </w:rPr>
              <w:t>工程质量目标及质量保证措施</w:t>
            </w:r>
          </w:p>
        </w:tc>
        <w:tc>
          <w:tcPr>
            <w:tcW w:w="1309" w:type="dxa"/>
            <w:vAlign w:val="center"/>
          </w:tcPr>
          <w:p>
            <w:pPr>
              <w:spacing w:line="360" w:lineRule="auto"/>
              <w:jc w:val="center"/>
              <w:rPr>
                <w:rFonts w:ascii="宋体" w:hAnsi="宋体" w:eastAsia="宋体" w:cs="宋体"/>
                <w:sz w:val="24"/>
              </w:rPr>
            </w:pPr>
            <w:r>
              <w:rPr>
                <w:rFonts w:hint="eastAsia" w:ascii="宋体" w:hAnsi="宋体" w:eastAsia="宋体" w:cs="宋体"/>
                <w:sz w:val="24"/>
              </w:rPr>
              <w:t>10</w:t>
            </w:r>
          </w:p>
        </w:tc>
        <w:tc>
          <w:tcPr>
            <w:tcW w:w="6569" w:type="dxa"/>
            <w:vAlign w:val="center"/>
          </w:tcPr>
          <w:p>
            <w:pPr>
              <w:spacing w:line="360" w:lineRule="auto"/>
              <w:rPr>
                <w:rFonts w:ascii="宋体" w:hAnsi="宋体" w:eastAsia="宋体" w:cs="宋体"/>
                <w:sz w:val="24"/>
              </w:rPr>
            </w:pPr>
            <w:r>
              <w:rPr>
                <w:rFonts w:hint="eastAsia" w:ascii="宋体" w:hAnsi="宋体" w:eastAsia="宋体" w:cs="宋体"/>
                <w:sz w:val="24"/>
              </w:rPr>
              <w:t>（1）工程质量目标符合</w:t>
            </w:r>
            <w:r>
              <w:rPr>
                <w:rFonts w:hint="eastAsia" w:ascii="宋体" w:hAnsi="宋体" w:eastAsia="宋体" w:cs="宋体"/>
                <w:sz w:val="24"/>
                <w:lang w:eastAsia="zh-CN"/>
              </w:rPr>
              <w:t>国家规定的标准</w:t>
            </w:r>
            <w:r>
              <w:rPr>
                <w:rFonts w:hint="eastAsia" w:ascii="宋体" w:hAnsi="宋体" w:eastAsia="宋体" w:cs="宋体"/>
                <w:sz w:val="24"/>
              </w:rPr>
              <w:t>要求，有质量保证措施：得4分，无：本项得0分。</w:t>
            </w:r>
          </w:p>
          <w:p>
            <w:pPr>
              <w:spacing w:line="360" w:lineRule="auto"/>
              <w:rPr>
                <w:rFonts w:ascii="宋体" w:hAnsi="宋体" w:eastAsia="宋体" w:cs="宋体"/>
                <w:sz w:val="24"/>
              </w:rPr>
            </w:pPr>
            <w:r>
              <w:rPr>
                <w:rFonts w:hint="eastAsia" w:ascii="宋体" w:hAnsi="宋体" w:eastAsia="宋体" w:cs="宋体"/>
                <w:sz w:val="24"/>
              </w:rPr>
              <w:t>（2）根据本</w:t>
            </w:r>
            <w:r>
              <w:rPr>
                <w:rFonts w:hint="eastAsia" w:ascii="宋体" w:hAnsi="宋体" w:eastAsia="宋体" w:cs="宋体"/>
                <w:sz w:val="24"/>
                <w:lang w:eastAsia="zh-CN"/>
              </w:rPr>
              <w:t>项目</w:t>
            </w:r>
            <w:r>
              <w:rPr>
                <w:rFonts w:hint="eastAsia" w:ascii="宋体" w:hAnsi="宋体" w:eastAsia="宋体" w:cs="宋体"/>
                <w:sz w:val="24"/>
              </w:rPr>
              <w:t>的质量目标，针对项目的特点，从质量保证体系、材料的检测等方面提出详细的质量保证措施。优：得6分，中：得3分，差：得1分。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dxa"/>
            <w:vAlign w:val="center"/>
          </w:tcPr>
          <w:p>
            <w:pPr>
              <w:spacing w:line="360" w:lineRule="auto"/>
              <w:jc w:val="center"/>
              <w:rPr>
                <w:rFonts w:ascii="宋体" w:hAnsi="宋体" w:eastAsia="宋体" w:cs="宋体"/>
                <w:sz w:val="24"/>
              </w:rPr>
            </w:pPr>
            <w:r>
              <w:rPr>
                <w:rFonts w:hint="eastAsia" w:ascii="宋体" w:hAnsi="宋体" w:eastAsia="宋体" w:cs="宋体"/>
                <w:sz w:val="24"/>
              </w:rPr>
              <w:t>3</w:t>
            </w:r>
          </w:p>
        </w:tc>
        <w:tc>
          <w:tcPr>
            <w:tcW w:w="1986" w:type="dxa"/>
            <w:vAlign w:val="center"/>
          </w:tcPr>
          <w:p>
            <w:pPr>
              <w:spacing w:line="360" w:lineRule="auto"/>
              <w:jc w:val="center"/>
              <w:rPr>
                <w:rFonts w:ascii="宋体" w:hAnsi="宋体" w:eastAsia="宋体" w:cs="宋体"/>
                <w:sz w:val="24"/>
              </w:rPr>
            </w:pPr>
            <w:r>
              <w:rPr>
                <w:rFonts w:hint="eastAsia" w:ascii="宋体" w:hAnsi="宋体" w:eastAsia="宋体" w:cs="宋体"/>
                <w:sz w:val="24"/>
              </w:rPr>
              <w:t>施工方法及技术保证措施</w:t>
            </w:r>
          </w:p>
        </w:tc>
        <w:tc>
          <w:tcPr>
            <w:tcW w:w="1309" w:type="dxa"/>
            <w:vAlign w:val="center"/>
          </w:tcPr>
          <w:p>
            <w:pPr>
              <w:spacing w:line="360" w:lineRule="auto"/>
              <w:jc w:val="center"/>
              <w:rPr>
                <w:rFonts w:ascii="宋体" w:hAnsi="宋体" w:eastAsia="宋体" w:cs="宋体"/>
                <w:sz w:val="24"/>
              </w:rPr>
            </w:pPr>
            <w:r>
              <w:rPr>
                <w:rFonts w:hint="eastAsia" w:ascii="宋体" w:hAnsi="宋体" w:eastAsia="宋体" w:cs="宋体"/>
                <w:sz w:val="24"/>
              </w:rPr>
              <w:t>10</w:t>
            </w:r>
          </w:p>
        </w:tc>
        <w:tc>
          <w:tcPr>
            <w:tcW w:w="6569" w:type="dxa"/>
            <w:vAlign w:val="center"/>
          </w:tcPr>
          <w:p>
            <w:pPr>
              <w:spacing w:line="360" w:lineRule="auto"/>
              <w:rPr>
                <w:rFonts w:ascii="宋体" w:hAnsi="宋体" w:eastAsia="宋体" w:cs="宋体"/>
                <w:sz w:val="24"/>
              </w:rPr>
            </w:pPr>
            <w:r>
              <w:rPr>
                <w:rFonts w:hint="eastAsia" w:ascii="宋体" w:hAnsi="宋体" w:eastAsia="宋体" w:cs="宋体"/>
                <w:sz w:val="24"/>
              </w:rPr>
              <w:t>（1）有施工方法及技术保证措施：得4分，无：本项得0分。</w:t>
            </w:r>
            <w:r>
              <w:rPr>
                <w:rFonts w:hint="eastAsia" w:ascii="宋体" w:hAnsi="宋体" w:eastAsia="宋体" w:cs="宋体"/>
                <w:sz w:val="24"/>
              </w:rPr>
              <w:br w:type="textWrapping"/>
            </w:r>
            <w:r>
              <w:rPr>
                <w:rFonts w:hint="eastAsia" w:ascii="宋体" w:hAnsi="宋体" w:eastAsia="宋体" w:cs="宋体"/>
                <w:sz w:val="24"/>
              </w:rPr>
              <w:t>（2）根据本</w:t>
            </w:r>
            <w:r>
              <w:rPr>
                <w:rFonts w:hint="eastAsia" w:ascii="宋体" w:hAnsi="宋体" w:eastAsia="宋体" w:cs="宋体"/>
                <w:sz w:val="24"/>
                <w:lang w:eastAsia="zh-CN"/>
              </w:rPr>
              <w:t>项目</w:t>
            </w:r>
            <w:r>
              <w:rPr>
                <w:rFonts w:hint="eastAsia" w:ascii="宋体" w:hAnsi="宋体" w:eastAsia="宋体" w:cs="宋体"/>
                <w:sz w:val="24"/>
              </w:rPr>
              <w:t>的特点，从施工总体部署、施工总体流程、施工总平面布置和各分部分项工程的施工等各方面提出详细的施工方法及技术保证措施。优：得6分，中：得3分，差：得1分。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dxa"/>
            <w:vAlign w:val="center"/>
          </w:tcPr>
          <w:p>
            <w:pPr>
              <w:spacing w:line="360" w:lineRule="auto"/>
              <w:jc w:val="center"/>
              <w:rPr>
                <w:rFonts w:ascii="宋体" w:hAnsi="宋体" w:eastAsia="宋体" w:cs="宋体"/>
                <w:sz w:val="24"/>
              </w:rPr>
            </w:pPr>
            <w:r>
              <w:rPr>
                <w:rFonts w:hint="eastAsia" w:ascii="宋体" w:hAnsi="宋体" w:eastAsia="宋体" w:cs="宋体"/>
                <w:sz w:val="24"/>
              </w:rPr>
              <w:t>4</w:t>
            </w:r>
          </w:p>
        </w:tc>
        <w:tc>
          <w:tcPr>
            <w:tcW w:w="1986" w:type="dxa"/>
            <w:vAlign w:val="center"/>
          </w:tcPr>
          <w:p>
            <w:pPr>
              <w:spacing w:line="360" w:lineRule="auto"/>
              <w:jc w:val="center"/>
              <w:rPr>
                <w:rFonts w:ascii="宋体" w:hAnsi="宋体" w:eastAsia="宋体" w:cs="宋体"/>
                <w:sz w:val="24"/>
              </w:rPr>
            </w:pPr>
            <w:r>
              <w:rPr>
                <w:rFonts w:hint="eastAsia" w:ascii="宋体" w:hAnsi="宋体" w:eastAsia="宋体" w:cs="宋体"/>
                <w:sz w:val="24"/>
              </w:rPr>
              <w:t>机械设备投入计划及保证措施</w:t>
            </w:r>
          </w:p>
        </w:tc>
        <w:tc>
          <w:tcPr>
            <w:tcW w:w="1309" w:type="dxa"/>
            <w:vAlign w:val="center"/>
          </w:tcPr>
          <w:p>
            <w:pPr>
              <w:spacing w:line="360" w:lineRule="auto"/>
              <w:jc w:val="center"/>
              <w:rPr>
                <w:rFonts w:ascii="宋体" w:hAnsi="宋体" w:eastAsia="宋体" w:cs="宋体"/>
                <w:sz w:val="24"/>
              </w:rPr>
            </w:pPr>
            <w:r>
              <w:rPr>
                <w:rFonts w:hint="eastAsia" w:ascii="宋体" w:hAnsi="宋体" w:eastAsia="宋体" w:cs="宋体"/>
                <w:sz w:val="24"/>
              </w:rPr>
              <w:t>10</w:t>
            </w:r>
          </w:p>
        </w:tc>
        <w:tc>
          <w:tcPr>
            <w:tcW w:w="6569" w:type="dxa"/>
            <w:vAlign w:val="center"/>
          </w:tcPr>
          <w:p>
            <w:pPr>
              <w:spacing w:line="360" w:lineRule="auto"/>
              <w:rPr>
                <w:rFonts w:ascii="宋体" w:hAnsi="宋体" w:eastAsia="宋体" w:cs="宋体"/>
                <w:sz w:val="24"/>
              </w:rPr>
            </w:pPr>
            <w:r>
              <w:rPr>
                <w:rFonts w:hint="eastAsia" w:ascii="宋体" w:hAnsi="宋体" w:eastAsia="宋体" w:cs="宋体"/>
                <w:sz w:val="24"/>
              </w:rPr>
              <w:t>（1）</w:t>
            </w:r>
            <w:r>
              <w:rPr>
                <w:rFonts w:hint="eastAsia" w:ascii="宋体" w:hAnsi="宋体" w:eastAsia="宋体" w:cs="宋体"/>
                <w:color w:val="auto"/>
                <w:sz w:val="24"/>
              </w:rPr>
              <w:t>有机械设备投入计划及保证措施：得</w:t>
            </w:r>
            <w:r>
              <w:rPr>
                <w:rFonts w:ascii="宋体" w:hAnsi="宋体" w:eastAsia="宋体" w:cs="宋体"/>
                <w:color w:val="auto"/>
                <w:sz w:val="24"/>
              </w:rPr>
              <w:t>4</w:t>
            </w:r>
            <w:r>
              <w:rPr>
                <w:rFonts w:hint="eastAsia" w:ascii="宋体" w:hAnsi="宋体" w:eastAsia="宋体" w:cs="宋体"/>
                <w:color w:val="auto"/>
                <w:sz w:val="24"/>
              </w:rPr>
              <w:t>分，无：本项得</w:t>
            </w:r>
            <w:r>
              <w:rPr>
                <w:rFonts w:ascii="宋体" w:hAnsi="宋体" w:eastAsia="宋体" w:cs="宋体"/>
                <w:color w:val="auto"/>
                <w:sz w:val="24"/>
              </w:rPr>
              <w:t>0</w:t>
            </w:r>
            <w:r>
              <w:rPr>
                <w:rFonts w:hint="eastAsia" w:ascii="宋体" w:hAnsi="宋体" w:eastAsia="宋体" w:cs="宋体"/>
                <w:color w:val="auto"/>
                <w:sz w:val="24"/>
              </w:rPr>
              <w:t>分。(机械设备投入需提供设备清单并加盖公章)</w:t>
            </w:r>
            <w:r>
              <w:rPr>
                <w:rFonts w:ascii="宋体" w:hAnsi="宋体" w:eastAsia="宋体" w:cs="宋体"/>
                <w:color w:val="auto"/>
                <w:sz w:val="24"/>
              </w:rPr>
              <w:br w:type="textWrapping"/>
            </w:r>
            <w:r>
              <w:rPr>
                <w:rFonts w:hint="eastAsia" w:ascii="宋体" w:hAnsi="宋体" w:eastAsia="宋体" w:cs="宋体"/>
                <w:sz w:val="24"/>
              </w:rPr>
              <w:t>（2）根据本</w:t>
            </w:r>
            <w:r>
              <w:rPr>
                <w:rFonts w:hint="eastAsia" w:ascii="宋体" w:hAnsi="宋体" w:eastAsia="宋体" w:cs="宋体"/>
                <w:sz w:val="24"/>
                <w:lang w:eastAsia="zh-CN"/>
              </w:rPr>
              <w:t>项目</w:t>
            </w:r>
            <w:r>
              <w:rPr>
                <w:rFonts w:hint="eastAsia" w:ascii="宋体" w:hAnsi="宋体" w:eastAsia="宋体" w:cs="宋体"/>
                <w:sz w:val="24"/>
              </w:rPr>
              <w:t>的特点</w:t>
            </w:r>
            <w:r>
              <w:rPr>
                <w:rFonts w:hint="eastAsia" w:ascii="宋体" w:hAnsi="宋体" w:eastAsia="宋体" w:cs="宋体"/>
                <w:sz w:val="24"/>
                <w:lang w:eastAsia="zh-CN"/>
              </w:rPr>
              <w:t>，</w:t>
            </w:r>
            <w:r>
              <w:rPr>
                <w:rFonts w:hint="eastAsia" w:ascii="宋体" w:hAnsi="宋体" w:eastAsia="宋体" w:cs="宋体"/>
                <w:sz w:val="24"/>
              </w:rPr>
              <w:t>编制机械设备投入计划，确保满足施工要求，投入保证措施明确、具体、可行。优：得6分，中：得3分，差：得1分。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dxa"/>
            <w:vAlign w:val="center"/>
          </w:tcPr>
          <w:p>
            <w:pPr>
              <w:spacing w:line="360" w:lineRule="auto"/>
              <w:jc w:val="center"/>
              <w:rPr>
                <w:rFonts w:ascii="宋体" w:hAnsi="宋体" w:eastAsia="宋体" w:cs="宋体"/>
                <w:sz w:val="24"/>
              </w:rPr>
            </w:pPr>
            <w:r>
              <w:rPr>
                <w:rFonts w:hint="eastAsia" w:ascii="宋体" w:hAnsi="宋体" w:eastAsia="宋体" w:cs="宋体"/>
                <w:sz w:val="24"/>
              </w:rPr>
              <w:t>5</w:t>
            </w:r>
          </w:p>
        </w:tc>
        <w:tc>
          <w:tcPr>
            <w:tcW w:w="1986" w:type="dxa"/>
            <w:vAlign w:val="center"/>
          </w:tcPr>
          <w:p>
            <w:pPr>
              <w:spacing w:line="360" w:lineRule="auto"/>
              <w:jc w:val="center"/>
              <w:rPr>
                <w:rFonts w:ascii="宋体" w:hAnsi="宋体" w:eastAsia="宋体" w:cs="宋体"/>
                <w:sz w:val="24"/>
              </w:rPr>
            </w:pPr>
            <w:r>
              <w:rPr>
                <w:rFonts w:hint="eastAsia" w:ascii="宋体" w:hAnsi="宋体" w:eastAsia="宋体" w:cs="宋体"/>
                <w:sz w:val="24"/>
              </w:rPr>
              <w:t>文明、环保施工保证措施</w:t>
            </w:r>
          </w:p>
        </w:tc>
        <w:tc>
          <w:tcPr>
            <w:tcW w:w="1309" w:type="dxa"/>
            <w:vAlign w:val="center"/>
          </w:tcPr>
          <w:p>
            <w:pPr>
              <w:spacing w:line="360" w:lineRule="auto"/>
              <w:jc w:val="center"/>
              <w:rPr>
                <w:rFonts w:ascii="宋体" w:hAnsi="宋体" w:eastAsia="宋体" w:cs="宋体"/>
                <w:sz w:val="24"/>
              </w:rPr>
            </w:pPr>
            <w:r>
              <w:rPr>
                <w:rFonts w:hint="eastAsia" w:ascii="宋体" w:hAnsi="宋体" w:eastAsia="宋体" w:cs="宋体"/>
                <w:sz w:val="24"/>
              </w:rPr>
              <w:t>10</w:t>
            </w:r>
          </w:p>
        </w:tc>
        <w:tc>
          <w:tcPr>
            <w:tcW w:w="6569" w:type="dxa"/>
            <w:vAlign w:val="center"/>
          </w:tcPr>
          <w:p>
            <w:pPr>
              <w:spacing w:line="360" w:lineRule="auto"/>
              <w:rPr>
                <w:rFonts w:ascii="宋体" w:hAnsi="宋体" w:eastAsia="宋体" w:cs="宋体"/>
                <w:sz w:val="24"/>
              </w:rPr>
            </w:pPr>
            <w:r>
              <w:rPr>
                <w:rFonts w:hint="eastAsia" w:ascii="宋体" w:hAnsi="宋体" w:eastAsia="宋体" w:cs="宋体"/>
                <w:sz w:val="24"/>
              </w:rPr>
              <w:t>（1）有文明、环保施工保证措施：得4分，无：本项得0分。</w:t>
            </w:r>
            <w:r>
              <w:rPr>
                <w:rFonts w:hint="eastAsia" w:ascii="宋体" w:hAnsi="宋体" w:eastAsia="宋体" w:cs="宋体"/>
                <w:sz w:val="24"/>
              </w:rPr>
              <w:br w:type="textWrapping"/>
            </w:r>
            <w:r>
              <w:rPr>
                <w:rFonts w:hint="eastAsia" w:ascii="宋体" w:hAnsi="宋体" w:eastAsia="宋体" w:cs="宋体"/>
                <w:sz w:val="24"/>
              </w:rPr>
              <w:t>（2）根据本</w:t>
            </w:r>
            <w:r>
              <w:rPr>
                <w:rFonts w:hint="eastAsia" w:ascii="宋体" w:hAnsi="宋体" w:eastAsia="宋体" w:cs="宋体"/>
                <w:sz w:val="24"/>
                <w:lang w:eastAsia="zh-CN"/>
              </w:rPr>
              <w:t>项目</w:t>
            </w:r>
            <w:r>
              <w:rPr>
                <w:rFonts w:hint="eastAsia" w:ascii="宋体" w:hAnsi="宋体" w:eastAsia="宋体" w:cs="宋体"/>
                <w:sz w:val="24"/>
              </w:rPr>
              <w:t>的特点，从文明施工管理制度、现场文明施工管理、环境保护等方面提出详细的文明、环保施工保证措施。优：得6分，中：得3分，差：得1分。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2" w:hRule="atLeast"/>
          <w:jc w:val="center"/>
        </w:trPr>
        <w:tc>
          <w:tcPr>
            <w:tcW w:w="587" w:type="dxa"/>
            <w:vAlign w:val="center"/>
          </w:tcPr>
          <w:p>
            <w:pPr>
              <w:spacing w:line="360" w:lineRule="auto"/>
              <w:jc w:val="center"/>
              <w:rPr>
                <w:rFonts w:ascii="宋体" w:hAnsi="宋体" w:eastAsia="宋体" w:cs="宋体"/>
                <w:sz w:val="24"/>
              </w:rPr>
            </w:pPr>
            <w:r>
              <w:rPr>
                <w:rFonts w:hint="eastAsia" w:ascii="宋体" w:hAnsi="宋体" w:eastAsia="宋体" w:cs="宋体"/>
                <w:sz w:val="24"/>
              </w:rPr>
              <w:t>6</w:t>
            </w:r>
          </w:p>
        </w:tc>
        <w:tc>
          <w:tcPr>
            <w:tcW w:w="1986" w:type="dxa"/>
            <w:vAlign w:val="center"/>
          </w:tcPr>
          <w:p>
            <w:pPr>
              <w:spacing w:line="360" w:lineRule="auto"/>
              <w:rPr>
                <w:rFonts w:ascii="宋体" w:hAnsi="宋体" w:eastAsia="宋体" w:cs="宋体"/>
                <w:sz w:val="24"/>
              </w:rPr>
            </w:pPr>
            <w:r>
              <w:rPr>
                <w:rFonts w:hint="eastAsia" w:ascii="宋体" w:hAnsi="宋体" w:eastAsia="宋体" w:cs="宋体"/>
                <w:sz w:val="24"/>
              </w:rPr>
              <w:t>安全生产保证措施</w:t>
            </w:r>
          </w:p>
        </w:tc>
        <w:tc>
          <w:tcPr>
            <w:tcW w:w="1309" w:type="dxa"/>
            <w:vAlign w:val="center"/>
          </w:tcPr>
          <w:p>
            <w:pPr>
              <w:spacing w:line="360" w:lineRule="auto"/>
              <w:jc w:val="center"/>
              <w:rPr>
                <w:rFonts w:ascii="宋体" w:hAnsi="宋体" w:eastAsia="宋体" w:cs="宋体"/>
                <w:sz w:val="24"/>
              </w:rPr>
            </w:pPr>
            <w:r>
              <w:rPr>
                <w:rFonts w:hint="eastAsia" w:ascii="宋体" w:hAnsi="宋体" w:eastAsia="宋体" w:cs="宋体"/>
                <w:sz w:val="24"/>
              </w:rPr>
              <w:t>10</w:t>
            </w:r>
          </w:p>
        </w:tc>
        <w:tc>
          <w:tcPr>
            <w:tcW w:w="6569" w:type="dxa"/>
            <w:vAlign w:val="center"/>
          </w:tcPr>
          <w:p>
            <w:pPr>
              <w:spacing w:line="360" w:lineRule="auto"/>
              <w:rPr>
                <w:rFonts w:ascii="宋体" w:hAnsi="宋体" w:eastAsia="宋体" w:cs="宋体"/>
                <w:sz w:val="24"/>
              </w:rPr>
            </w:pPr>
            <w:r>
              <w:rPr>
                <w:rFonts w:hint="eastAsia" w:ascii="宋体" w:hAnsi="宋体" w:eastAsia="宋体" w:cs="宋体"/>
                <w:sz w:val="24"/>
              </w:rPr>
              <w:t>（1）有安全生产保证措施：得4分，无：本项得0分。</w:t>
            </w:r>
            <w:r>
              <w:rPr>
                <w:rFonts w:hint="eastAsia" w:ascii="宋体" w:hAnsi="宋体" w:eastAsia="宋体" w:cs="宋体"/>
                <w:sz w:val="24"/>
              </w:rPr>
              <w:br w:type="textWrapping"/>
            </w:r>
            <w:r>
              <w:rPr>
                <w:rFonts w:hint="eastAsia" w:ascii="宋体" w:hAnsi="宋体" w:eastAsia="宋体" w:cs="宋体"/>
                <w:sz w:val="24"/>
              </w:rPr>
              <w:t>（2）根据本工程的特点，从安全生产保证体系、施工人员安全培训、现场安全生产管理等方面提出详细的安全生产保证措施。优：得6分，中：得3分，差：得1分。</w:t>
            </w:r>
          </w:p>
        </w:tc>
      </w:tr>
    </w:tbl>
    <w:p>
      <w:pPr>
        <w:pStyle w:val="2"/>
        <w:ind w:firstLine="0" w:firstLineChars="0"/>
      </w:pPr>
    </w:p>
    <w:p>
      <w:pPr>
        <w:pStyle w:val="2"/>
        <w:ind w:firstLine="0" w:firstLineChars="0"/>
      </w:pPr>
    </w:p>
    <w:p>
      <w:pPr>
        <w:pStyle w:val="2"/>
        <w:ind w:firstLine="0" w:firstLineChars="0"/>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7"/>
        <w:gridCol w:w="1986"/>
        <w:gridCol w:w="1323"/>
        <w:gridCol w:w="6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dxa"/>
            <w:vAlign w:val="center"/>
          </w:tcPr>
          <w:p>
            <w:pPr>
              <w:spacing w:line="360" w:lineRule="auto"/>
              <w:jc w:val="center"/>
              <w:rPr>
                <w:rFonts w:ascii="宋体" w:hAnsi="宋体" w:eastAsia="宋体" w:cs="宋体"/>
                <w:b/>
                <w:bCs/>
                <w:sz w:val="24"/>
              </w:rPr>
            </w:pPr>
            <w:r>
              <w:rPr>
                <w:rFonts w:hint="eastAsia" w:ascii="宋体" w:hAnsi="宋体" w:eastAsia="宋体" w:cs="宋体"/>
                <w:b/>
                <w:bCs/>
                <w:sz w:val="24"/>
              </w:rPr>
              <w:t>序号</w:t>
            </w:r>
          </w:p>
        </w:tc>
        <w:tc>
          <w:tcPr>
            <w:tcW w:w="1986" w:type="dxa"/>
            <w:vAlign w:val="center"/>
          </w:tcPr>
          <w:p>
            <w:pPr>
              <w:spacing w:line="360" w:lineRule="auto"/>
              <w:jc w:val="center"/>
              <w:rPr>
                <w:rFonts w:ascii="宋体" w:hAnsi="宋体" w:eastAsia="宋体" w:cs="宋体"/>
                <w:b/>
                <w:bCs/>
                <w:sz w:val="24"/>
              </w:rPr>
            </w:pPr>
            <w:r>
              <w:rPr>
                <w:rFonts w:hint="eastAsia" w:ascii="宋体" w:hAnsi="宋体" w:eastAsia="宋体" w:cs="宋体"/>
                <w:b/>
                <w:bCs/>
                <w:sz w:val="24"/>
              </w:rPr>
              <w:t>评审项目</w:t>
            </w:r>
          </w:p>
        </w:tc>
        <w:tc>
          <w:tcPr>
            <w:tcW w:w="1323" w:type="dxa"/>
            <w:vAlign w:val="center"/>
          </w:tcPr>
          <w:p>
            <w:pPr>
              <w:spacing w:line="360" w:lineRule="auto"/>
              <w:jc w:val="center"/>
              <w:rPr>
                <w:rFonts w:ascii="宋体" w:hAnsi="宋体" w:eastAsia="宋体" w:cs="宋体"/>
                <w:b/>
                <w:bCs/>
                <w:sz w:val="24"/>
              </w:rPr>
            </w:pPr>
            <w:r>
              <w:rPr>
                <w:rFonts w:hint="eastAsia" w:ascii="宋体" w:hAnsi="宋体" w:eastAsia="宋体" w:cs="宋体"/>
                <w:b/>
                <w:bCs/>
                <w:sz w:val="24"/>
              </w:rPr>
              <w:t>单项分值</w:t>
            </w:r>
          </w:p>
        </w:tc>
        <w:tc>
          <w:tcPr>
            <w:tcW w:w="6555" w:type="dxa"/>
            <w:vAlign w:val="center"/>
          </w:tcPr>
          <w:p>
            <w:pPr>
              <w:spacing w:line="360" w:lineRule="auto"/>
              <w:jc w:val="center"/>
              <w:rPr>
                <w:rFonts w:ascii="宋体" w:hAnsi="宋体" w:eastAsia="宋体" w:cs="宋体"/>
                <w:b/>
                <w:bCs/>
                <w:spacing w:val="-3"/>
                <w:sz w:val="24"/>
              </w:rPr>
            </w:pPr>
            <w:r>
              <w:rPr>
                <w:rFonts w:hint="eastAsia" w:ascii="宋体" w:hAnsi="宋体" w:eastAsia="宋体" w:cs="宋体"/>
                <w:b/>
                <w:bCs/>
                <w:spacing w:val="-3"/>
                <w:sz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dxa"/>
            <w:vAlign w:val="center"/>
          </w:tcPr>
          <w:p>
            <w:pPr>
              <w:spacing w:line="360" w:lineRule="auto"/>
              <w:jc w:val="center"/>
              <w:rPr>
                <w:rFonts w:ascii="宋体" w:hAnsi="宋体" w:eastAsia="宋体" w:cs="宋体"/>
                <w:sz w:val="24"/>
              </w:rPr>
            </w:pPr>
            <w:r>
              <w:rPr>
                <w:rFonts w:hint="eastAsia" w:ascii="宋体" w:hAnsi="宋体" w:eastAsia="宋体" w:cs="宋体"/>
                <w:sz w:val="24"/>
              </w:rPr>
              <w:t>7</w:t>
            </w:r>
          </w:p>
        </w:tc>
        <w:tc>
          <w:tcPr>
            <w:tcW w:w="1986" w:type="dxa"/>
            <w:vAlign w:val="center"/>
          </w:tcPr>
          <w:p>
            <w:pPr>
              <w:spacing w:line="360" w:lineRule="auto"/>
              <w:jc w:val="center"/>
              <w:rPr>
                <w:rFonts w:ascii="宋体" w:hAnsi="宋体" w:eastAsia="宋体" w:cs="宋体"/>
                <w:sz w:val="24"/>
              </w:rPr>
            </w:pPr>
            <w:r>
              <w:rPr>
                <w:rFonts w:hint="eastAsia" w:ascii="宋体" w:hAnsi="宋体" w:eastAsia="宋体" w:cs="宋体"/>
                <w:sz w:val="24"/>
              </w:rPr>
              <w:t>人员条件</w:t>
            </w:r>
          </w:p>
        </w:tc>
        <w:tc>
          <w:tcPr>
            <w:tcW w:w="1323" w:type="dxa"/>
            <w:vAlign w:val="center"/>
          </w:tcPr>
          <w:p>
            <w:pPr>
              <w:spacing w:line="360" w:lineRule="auto"/>
              <w:jc w:val="center"/>
              <w:rPr>
                <w:rFonts w:ascii="宋体" w:hAnsi="宋体" w:eastAsia="宋体" w:cs="宋体"/>
                <w:sz w:val="24"/>
              </w:rPr>
            </w:pPr>
            <w:r>
              <w:rPr>
                <w:rFonts w:hint="eastAsia" w:ascii="宋体" w:hAnsi="宋体" w:eastAsia="宋体" w:cs="宋体"/>
                <w:sz w:val="24"/>
              </w:rPr>
              <w:t>10</w:t>
            </w:r>
          </w:p>
        </w:tc>
        <w:tc>
          <w:tcPr>
            <w:tcW w:w="6555" w:type="dxa"/>
            <w:vAlign w:val="center"/>
          </w:tcPr>
          <w:p>
            <w:pPr>
              <w:pStyle w:val="7"/>
              <w:spacing w:line="360" w:lineRule="auto"/>
              <w:rPr>
                <w:rFonts w:eastAsia="宋体"/>
                <w:spacing w:val="-3"/>
                <w:sz w:val="24"/>
                <w:lang w:val="en-US" w:bidi="ar-SA"/>
              </w:rPr>
            </w:pPr>
            <w:r>
              <w:rPr>
                <w:rFonts w:hint="eastAsia" w:eastAsia="宋体"/>
                <w:spacing w:val="-3"/>
                <w:sz w:val="24"/>
                <w:lang w:val="en-US" w:bidi="ar-SA"/>
              </w:rPr>
              <w:t>1.有无固定的施工队伍（6人以上，提供社保清单），“有”得4分，“无”得0分，每多1人增加0.5分。</w:t>
            </w:r>
          </w:p>
          <w:p>
            <w:pPr>
              <w:pStyle w:val="7"/>
              <w:spacing w:line="360" w:lineRule="auto"/>
              <w:rPr>
                <w:rFonts w:eastAsia="宋体"/>
                <w:spacing w:val="-3"/>
                <w:sz w:val="24"/>
                <w:lang w:val="en-US" w:bidi="ar-SA"/>
              </w:rPr>
            </w:pPr>
            <w:r>
              <w:rPr>
                <w:rFonts w:hint="eastAsia" w:eastAsia="宋体"/>
                <w:spacing w:val="-3"/>
                <w:sz w:val="24"/>
                <w:lang w:val="en-US" w:bidi="ar-SA"/>
              </w:rPr>
              <w:t>2.团队成员具有建筑类高级工程师（或以上）职称的，得3分；具备建筑类中级工程师（或以上）职称的，得2分；具备安全类中级（或以上）职称的，得2分；具备工程造价类工程师（或以上）职称、或具备注册造价师执业资格的，得3分。</w:t>
            </w:r>
          </w:p>
          <w:p>
            <w:pPr>
              <w:pStyle w:val="7"/>
              <w:spacing w:line="360" w:lineRule="auto"/>
              <w:rPr>
                <w:rFonts w:eastAsia="宋体"/>
                <w:spacing w:val="-3"/>
                <w:sz w:val="24"/>
                <w:lang w:val="en-US" w:bidi="ar-SA"/>
              </w:rPr>
            </w:pPr>
            <w:r>
              <w:rPr>
                <w:rFonts w:hint="eastAsia" w:eastAsia="宋体"/>
                <w:spacing w:val="-3"/>
                <w:sz w:val="24"/>
                <w:lang w:val="en-US" w:bidi="ar-SA"/>
              </w:rPr>
              <w:t>本项可累计计分，最高不超过10分。</w:t>
            </w:r>
          </w:p>
          <w:p>
            <w:pPr>
              <w:spacing w:line="360" w:lineRule="auto"/>
              <w:rPr>
                <w:rFonts w:ascii="宋体" w:hAnsi="宋体" w:eastAsia="宋体" w:cs="宋体"/>
                <w:sz w:val="24"/>
              </w:rPr>
            </w:pPr>
            <w:r>
              <w:rPr>
                <w:rFonts w:hint="eastAsia" w:ascii="宋体" w:hAnsi="宋体" w:eastAsia="宋体" w:cs="宋体"/>
                <w:spacing w:val="-3"/>
                <w:sz w:val="24"/>
              </w:rPr>
              <w:t>【以上人员均须提供在本单位近6个月内任一月份的社保证明（包括社会保险个人缴费证明或社会保险个人参保证明或电子税务局申报缴款个人明细查询）；人员须提供相应的职称证（或注册证、或资格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dxa"/>
            <w:vAlign w:val="center"/>
          </w:tcPr>
          <w:p>
            <w:pPr>
              <w:spacing w:line="360" w:lineRule="auto"/>
              <w:jc w:val="center"/>
              <w:rPr>
                <w:rFonts w:ascii="宋体" w:hAnsi="宋体" w:eastAsia="宋体" w:cs="宋体"/>
                <w:sz w:val="24"/>
              </w:rPr>
            </w:pPr>
            <w:r>
              <w:rPr>
                <w:rFonts w:hint="eastAsia" w:ascii="宋体" w:hAnsi="宋体" w:eastAsia="宋体" w:cs="宋体"/>
                <w:sz w:val="24"/>
              </w:rPr>
              <w:t>8</w:t>
            </w:r>
          </w:p>
        </w:tc>
        <w:tc>
          <w:tcPr>
            <w:tcW w:w="1986" w:type="dxa"/>
            <w:vAlign w:val="center"/>
          </w:tcPr>
          <w:p>
            <w:pPr>
              <w:spacing w:line="360" w:lineRule="auto"/>
              <w:jc w:val="center"/>
              <w:rPr>
                <w:rFonts w:ascii="宋体" w:hAnsi="宋体" w:eastAsia="宋体" w:cs="宋体"/>
                <w:sz w:val="24"/>
              </w:rPr>
            </w:pPr>
            <w:r>
              <w:rPr>
                <w:rFonts w:hint="eastAsia" w:ascii="宋体" w:hAnsi="宋体" w:eastAsia="宋体" w:cs="宋体"/>
                <w:sz w:val="24"/>
              </w:rPr>
              <w:t>资质证书</w:t>
            </w:r>
          </w:p>
        </w:tc>
        <w:tc>
          <w:tcPr>
            <w:tcW w:w="1323" w:type="dxa"/>
            <w:vAlign w:val="center"/>
          </w:tcPr>
          <w:p>
            <w:pPr>
              <w:spacing w:line="360" w:lineRule="auto"/>
              <w:jc w:val="center"/>
              <w:rPr>
                <w:rFonts w:ascii="宋体" w:hAnsi="宋体" w:eastAsia="宋体" w:cs="宋体"/>
                <w:sz w:val="24"/>
              </w:rPr>
            </w:pPr>
            <w:r>
              <w:rPr>
                <w:rFonts w:hint="eastAsia" w:ascii="宋体" w:hAnsi="宋体" w:eastAsia="宋体" w:cs="宋体"/>
                <w:sz w:val="24"/>
              </w:rPr>
              <w:t>10</w:t>
            </w:r>
          </w:p>
        </w:tc>
        <w:tc>
          <w:tcPr>
            <w:tcW w:w="6555" w:type="dxa"/>
            <w:vAlign w:val="center"/>
          </w:tcPr>
          <w:p>
            <w:pPr>
              <w:pStyle w:val="7"/>
              <w:spacing w:line="360" w:lineRule="auto"/>
              <w:rPr>
                <w:rFonts w:eastAsia="宋体"/>
                <w:spacing w:val="-3"/>
                <w:sz w:val="24"/>
                <w:lang w:val="en-US" w:bidi="ar-SA"/>
              </w:rPr>
            </w:pPr>
            <w:r>
              <w:rPr>
                <w:rFonts w:hint="eastAsia" w:eastAsia="宋体"/>
                <w:spacing w:val="-3"/>
                <w:sz w:val="24"/>
                <w:lang w:val="en-US" w:bidi="ar-SA"/>
              </w:rPr>
              <w:t>具有</w:t>
            </w:r>
            <w:r>
              <w:rPr>
                <w:rFonts w:hint="eastAsia" w:eastAsia="宋体"/>
                <w:spacing w:val="-3"/>
                <w:sz w:val="24"/>
                <w:lang w:val="en-US" w:eastAsia="zh-CN" w:bidi="ar-SA"/>
              </w:rPr>
              <w:t>建筑装修装饰工程、建筑幕墙工程、防水防腐保温工程、建筑工程施工、市政公用工程施工</w:t>
            </w:r>
            <w:r>
              <w:rPr>
                <w:rFonts w:hint="eastAsia" w:eastAsia="宋体"/>
                <w:spacing w:val="-3"/>
                <w:sz w:val="24"/>
                <w:lang w:val="en-US" w:bidi="ar-SA"/>
              </w:rPr>
              <w:t>等承包、企业资质，三级或以上级别。</w:t>
            </w:r>
          </w:p>
          <w:p>
            <w:pPr>
              <w:spacing w:line="360" w:lineRule="auto"/>
              <w:rPr>
                <w:rFonts w:ascii="宋体" w:hAnsi="宋体" w:eastAsia="宋体" w:cs="宋体"/>
                <w:sz w:val="24"/>
              </w:rPr>
            </w:pPr>
            <w:r>
              <w:rPr>
                <w:rFonts w:hint="eastAsia" w:ascii="宋体" w:hAnsi="宋体" w:eastAsia="宋体" w:cs="宋体"/>
                <w:spacing w:val="-3"/>
                <w:sz w:val="24"/>
              </w:rPr>
              <w:t>具备</w:t>
            </w:r>
            <w:r>
              <w:rPr>
                <w:rFonts w:hint="eastAsia" w:ascii="宋体" w:hAnsi="宋体" w:eastAsia="宋体" w:cs="宋体"/>
                <w:spacing w:val="-3"/>
                <w:sz w:val="24"/>
                <w:lang w:eastAsia="zh-CN"/>
              </w:rPr>
              <w:t>其中</w:t>
            </w:r>
            <w:r>
              <w:rPr>
                <w:rFonts w:hint="eastAsia" w:ascii="宋体" w:hAnsi="宋体" w:eastAsia="宋体" w:cs="宋体"/>
                <w:spacing w:val="-3"/>
                <w:sz w:val="24"/>
              </w:rPr>
              <w:t>一项</w:t>
            </w:r>
            <w:r>
              <w:rPr>
                <w:rFonts w:hint="eastAsia" w:ascii="宋体" w:hAnsi="宋体" w:eastAsia="宋体" w:cs="宋体"/>
                <w:spacing w:val="-3"/>
                <w:sz w:val="24"/>
                <w:lang w:eastAsia="zh-CN"/>
              </w:rPr>
              <w:t>资质</w:t>
            </w:r>
            <w:r>
              <w:rPr>
                <w:rFonts w:hint="eastAsia" w:ascii="宋体" w:hAnsi="宋体" w:eastAsia="宋体" w:cs="宋体"/>
                <w:spacing w:val="-3"/>
                <w:sz w:val="24"/>
              </w:rPr>
              <w:t>：得</w:t>
            </w:r>
            <w:r>
              <w:rPr>
                <w:rFonts w:hint="eastAsia" w:ascii="宋体" w:hAnsi="宋体" w:eastAsia="宋体" w:cs="宋体"/>
                <w:spacing w:val="-3"/>
                <w:sz w:val="24"/>
                <w:lang w:val="en-US" w:eastAsia="zh-CN"/>
              </w:rPr>
              <w:t>6</w:t>
            </w:r>
            <w:r>
              <w:rPr>
                <w:rFonts w:hint="eastAsia" w:ascii="宋体" w:hAnsi="宋体" w:eastAsia="宋体" w:cs="宋体"/>
                <w:spacing w:val="-3"/>
                <w:sz w:val="24"/>
              </w:rPr>
              <w:t>分，无资质不得分。纳入广东省政府采购智慧云平台供应商名录得</w:t>
            </w:r>
            <w:r>
              <w:rPr>
                <w:rFonts w:hint="eastAsia" w:ascii="宋体" w:hAnsi="宋体" w:eastAsia="宋体" w:cs="宋体"/>
                <w:spacing w:val="-3"/>
                <w:sz w:val="24"/>
                <w:lang w:val="en-US" w:eastAsia="zh-CN"/>
              </w:rPr>
              <w:t>4</w:t>
            </w:r>
            <w:r>
              <w:rPr>
                <w:rFonts w:hint="eastAsia" w:ascii="宋体" w:hAnsi="宋体" w:eastAsia="宋体" w:cs="宋体"/>
                <w:spacing w:val="-3"/>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7" w:type="dxa"/>
            <w:vAlign w:val="center"/>
          </w:tcPr>
          <w:p>
            <w:pPr>
              <w:spacing w:line="360" w:lineRule="auto"/>
              <w:jc w:val="center"/>
              <w:rPr>
                <w:rFonts w:ascii="宋体" w:hAnsi="宋体" w:eastAsia="宋体" w:cs="宋体"/>
                <w:sz w:val="24"/>
              </w:rPr>
            </w:pPr>
            <w:r>
              <w:rPr>
                <w:rFonts w:hint="eastAsia" w:ascii="宋体" w:hAnsi="宋体" w:eastAsia="宋体" w:cs="宋体"/>
                <w:sz w:val="24"/>
              </w:rPr>
              <w:t>9</w:t>
            </w:r>
          </w:p>
        </w:tc>
        <w:tc>
          <w:tcPr>
            <w:tcW w:w="1986" w:type="dxa"/>
            <w:vAlign w:val="center"/>
          </w:tcPr>
          <w:p>
            <w:pPr>
              <w:spacing w:line="360" w:lineRule="auto"/>
              <w:jc w:val="center"/>
              <w:rPr>
                <w:rFonts w:ascii="宋体" w:hAnsi="宋体" w:eastAsia="宋体" w:cs="宋体"/>
                <w:sz w:val="24"/>
              </w:rPr>
            </w:pPr>
            <w:r>
              <w:rPr>
                <w:rFonts w:hint="eastAsia" w:ascii="宋体" w:hAnsi="宋体" w:eastAsia="宋体" w:cs="宋体"/>
                <w:sz w:val="24"/>
              </w:rPr>
              <w:t>同类项目业绩</w:t>
            </w:r>
          </w:p>
        </w:tc>
        <w:tc>
          <w:tcPr>
            <w:tcW w:w="1323" w:type="dxa"/>
            <w:vAlign w:val="center"/>
          </w:tcPr>
          <w:p>
            <w:pPr>
              <w:spacing w:line="360" w:lineRule="auto"/>
              <w:jc w:val="center"/>
              <w:rPr>
                <w:rFonts w:ascii="宋体" w:hAnsi="宋体" w:eastAsia="宋体" w:cs="宋体"/>
                <w:sz w:val="24"/>
              </w:rPr>
            </w:pPr>
            <w:r>
              <w:rPr>
                <w:rFonts w:hint="eastAsia" w:ascii="宋体" w:hAnsi="宋体" w:eastAsia="宋体" w:cs="宋体"/>
                <w:sz w:val="24"/>
              </w:rPr>
              <w:t>20</w:t>
            </w:r>
          </w:p>
        </w:tc>
        <w:tc>
          <w:tcPr>
            <w:tcW w:w="6555" w:type="dxa"/>
            <w:vAlign w:val="center"/>
          </w:tcPr>
          <w:p>
            <w:pPr>
              <w:pStyle w:val="8"/>
              <w:spacing w:line="360" w:lineRule="auto"/>
              <w:rPr>
                <w:rFonts w:ascii="宋体" w:hAnsi="宋体" w:cs="宋体"/>
                <w:sz w:val="24"/>
              </w:rPr>
            </w:pPr>
            <w:r>
              <w:rPr>
                <w:rFonts w:hint="eastAsia" w:ascii="宋体" w:hAnsi="宋体" w:cs="宋体"/>
                <w:sz w:val="24"/>
              </w:rPr>
              <w:t>20</w:t>
            </w:r>
            <w:r>
              <w:rPr>
                <w:rFonts w:hint="eastAsia" w:ascii="宋体" w:hAnsi="宋体" w:cs="宋体"/>
                <w:sz w:val="24"/>
                <w:lang w:val="en-US" w:eastAsia="zh-CN"/>
              </w:rPr>
              <w:t>20</w:t>
            </w:r>
            <w:r>
              <w:rPr>
                <w:rFonts w:hint="eastAsia" w:ascii="宋体" w:hAnsi="宋体" w:cs="宋体"/>
                <w:sz w:val="24"/>
              </w:rPr>
              <w:t>年1月1日以来有完成过类似的项目业绩经验（以合同签订时间为准</w:t>
            </w:r>
            <w:r>
              <w:rPr>
                <w:rFonts w:hint="eastAsia" w:ascii="宋体" w:hAnsi="宋体" w:cs="宋体"/>
                <w:sz w:val="24"/>
                <w:lang w:val="en-US" w:eastAsia="zh-CN"/>
              </w:rPr>
              <w:t>,合同金额10万元及以上</w:t>
            </w:r>
            <w:r>
              <w:rPr>
                <w:rFonts w:hint="eastAsia" w:ascii="宋体" w:hAnsi="宋体" w:cs="宋体"/>
                <w:sz w:val="24"/>
              </w:rPr>
              <w:t>），每个项目得2分，最高得20分。</w:t>
            </w:r>
          </w:p>
          <w:p>
            <w:pPr>
              <w:spacing w:line="360" w:lineRule="auto"/>
              <w:rPr>
                <w:rFonts w:ascii="宋体" w:hAnsi="宋体" w:eastAsia="宋体" w:cs="宋体"/>
                <w:sz w:val="24"/>
              </w:rPr>
            </w:pPr>
            <w:r>
              <w:rPr>
                <w:rFonts w:hint="eastAsia" w:ascii="宋体" w:hAnsi="宋体" w:eastAsia="宋体" w:cs="宋体"/>
                <w:b/>
                <w:bCs/>
                <w:sz w:val="24"/>
              </w:rPr>
              <w:t>注：类似工程业绩是指投标人自20</w:t>
            </w:r>
            <w:r>
              <w:rPr>
                <w:rFonts w:hint="eastAsia" w:ascii="宋体" w:hAnsi="宋体" w:eastAsia="宋体" w:cs="宋体"/>
                <w:b/>
                <w:bCs/>
                <w:sz w:val="24"/>
                <w:lang w:val="en-US" w:eastAsia="zh-CN"/>
              </w:rPr>
              <w:t>20</w:t>
            </w:r>
            <w:r>
              <w:rPr>
                <w:rFonts w:hint="eastAsia" w:ascii="宋体" w:hAnsi="宋体" w:eastAsia="宋体" w:cs="宋体"/>
                <w:b/>
                <w:bCs/>
                <w:sz w:val="24"/>
              </w:rPr>
              <w:t>年1月1日至投标截止时间完成质量合格</w:t>
            </w:r>
            <w:r>
              <w:rPr>
                <w:rFonts w:hint="eastAsia" w:ascii="宋体" w:hAnsi="宋体" w:eastAsia="宋体" w:cs="宋体"/>
                <w:b/>
                <w:bCs/>
                <w:sz w:val="24"/>
                <w:lang w:eastAsia="zh-CN"/>
              </w:rPr>
              <w:t>且审结</w:t>
            </w:r>
            <w:r>
              <w:rPr>
                <w:rFonts w:hint="eastAsia" w:ascii="宋体" w:hAnsi="宋体" w:eastAsia="宋体" w:cs="宋体"/>
                <w:b/>
                <w:bCs/>
                <w:sz w:val="24"/>
              </w:rPr>
              <w:t>的工程，</w:t>
            </w:r>
            <w:r>
              <w:rPr>
                <w:rFonts w:hint="eastAsia" w:ascii="宋体" w:hAnsi="宋体" w:eastAsia="宋体" w:cs="宋体"/>
                <w:b/>
                <w:bCs/>
                <w:sz w:val="24"/>
                <w:lang w:eastAsia="zh-CN"/>
              </w:rPr>
              <w:t>需</w:t>
            </w:r>
            <w:r>
              <w:rPr>
                <w:rFonts w:hint="eastAsia" w:ascii="宋体" w:hAnsi="宋体" w:eastAsia="宋体" w:cs="宋体"/>
                <w:b/>
                <w:sz w:val="24"/>
              </w:rPr>
              <w:t>提供合同复印件</w:t>
            </w:r>
            <w:r>
              <w:rPr>
                <w:rFonts w:hint="eastAsia" w:ascii="宋体" w:hAnsi="宋体" w:eastAsia="宋体" w:cs="宋体"/>
                <w:b/>
                <w:sz w:val="24"/>
                <w:lang w:eastAsia="zh-CN"/>
              </w:rPr>
              <w:t>和业主单位结算、审计材料封面页</w:t>
            </w:r>
            <w:r>
              <w:rPr>
                <w:rFonts w:hint="eastAsia" w:ascii="宋体" w:hAnsi="宋体" w:eastAsia="宋体" w:cs="宋体"/>
                <w:b/>
                <w:sz w:val="24"/>
              </w:rPr>
              <w:t>，</w:t>
            </w:r>
            <w:r>
              <w:rPr>
                <w:rFonts w:hint="eastAsia" w:ascii="宋体" w:hAnsi="宋体" w:eastAsia="宋体" w:cs="宋体"/>
                <w:b/>
                <w:spacing w:val="8"/>
                <w:kern w:val="0"/>
                <w:sz w:val="24"/>
              </w:rPr>
              <w:t>不提供不得分</w:t>
            </w:r>
            <w:r>
              <w:rPr>
                <w:rFonts w:hint="eastAsia" w:ascii="宋体" w:hAnsi="宋体" w:eastAsia="宋体" w:cs="宋体"/>
                <w:b/>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3" w:type="dxa"/>
            <w:gridSpan w:val="2"/>
            <w:vAlign w:val="center"/>
          </w:tcPr>
          <w:p>
            <w:pPr>
              <w:jc w:val="center"/>
              <w:rPr>
                <w:rFonts w:ascii="宋体" w:hAnsi="宋体" w:eastAsia="宋体" w:cs="宋体"/>
                <w:sz w:val="24"/>
              </w:rPr>
            </w:pPr>
            <w:r>
              <w:rPr>
                <w:rFonts w:hint="eastAsia" w:ascii="宋体" w:hAnsi="宋体" w:eastAsia="宋体" w:cs="宋体"/>
                <w:sz w:val="24"/>
              </w:rPr>
              <w:t>合计</w:t>
            </w:r>
          </w:p>
        </w:tc>
        <w:tc>
          <w:tcPr>
            <w:tcW w:w="1323" w:type="dxa"/>
            <w:vAlign w:val="center"/>
          </w:tcPr>
          <w:p>
            <w:pPr>
              <w:jc w:val="center"/>
              <w:rPr>
                <w:rFonts w:ascii="宋体" w:hAnsi="宋体" w:eastAsia="宋体" w:cs="宋体"/>
                <w:sz w:val="24"/>
              </w:rPr>
            </w:pPr>
            <w:r>
              <w:rPr>
                <w:rFonts w:hint="eastAsia" w:ascii="宋体" w:hAnsi="宋体" w:eastAsia="宋体" w:cs="宋体"/>
                <w:sz w:val="24"/>
              </w:rPr>
              <w:t>100</w:t>
            </w:r>
          </w:p>
        </w:tc>
        <w:tc>
          <w:tcPr>
            <w:tcW w:w="6555" w:type="dxa"/>
            <w:vAlign w:val="center"/>
          </w:tcPr>
          <w:p>
            <w:pPr>
              <w:rPr>
                <w:rFonts w:ascii="宋体" w:hAnsi="宋体" w:eastAsia="宋体" w:cs="宋体"/>
                <w:b/>
                <w:bCs/>
                <w:sz w:val="24"/>
              </w:rPr>
            </w:pPr>
          </w:p>
        </w:tc>
      </w:tr>
    </w:tbl>
    <w:p/>
    <w:p>
      <w:pPr>
        <w:pStyle w:val="2"/>
        <w:rPr>
          <w:rFonts w:hint="default" w:eastAsiaTheme="minorEastAsia"/>
          <w:b/>
          <w:bCs/>
          <w:sz w:val="24"/>
          <w:szCs w:val="32"/>
          <w:lang w:val="en-US" w:eastAsia="zh-CN"/>
        </w:rPr>
      </w:pPr>
      <w:r>
        <w:rPr>
          <w:rFonts w:hint="eastAsia"/>
          <w:b/>
          <w:bCs/>
          <w:sz w:val="24"/>
          <w:szCs w:val="32"/>
          <w:lang w:val="en-US" w:eastAsia="zh-CN"/>
        </w:rPr>
        <w:t>注：应选商需根据项目的特点，现场陈述（PPT）服务方案（结合自身条件重点围绕参选项目展开描述、提出建议等方面内容）。</w:t>
      </w:r>
      <w:bookmarkStart w:id="0" w:name="_GoBack"/>
      <w:bookmarkEnd w:id="0"/>
    </w:p>
    <w:p>
      <w:pPr>
        <w:pStyle w:val="2"/>
        <w:ind w:firstLine="480"/>
        <w:rPr>
          <w:sz w:val="24"/>
          <w:szCs w:val="32"/>
        </w:rPr>
      </w:pPr>
    </w:p>
    <w:sectPr>
      <w:pgSz w:w="11906" w:h="16838"/>
      <w:pgMar w:top="567" w:right="567" w:bottom="567" w:left="567"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YwYzc0MzQzNDU1MjA0ZmU0NTgzNWFiMGE0YmI3NGMifQ=="/>
  </w:docVars>
  <w:rsids>
    <w:rsidRoot w:val="00606D9E"/>
    <w:rsid w:val="002A025E"/>
    <w:rsid w:val="00421F32"/>
    <w:rsid w:val="00606D9E"/>
    <w:rsid w:val="008F592D"/>
    <w:rsid w:val="00B90AD6"/>
    <w:rsid w:val="00C71ACC"/>
    <w:rsid w:val="00D34A0E"/>
    <w:rsid w:val="017D5FF2"/>
    <w:rsid w:val="01E71C32"/>
    <w:rsid w:val="02055099"/>
    <w:rsid w:val="022E78E3"/>
    <w:rsid w:val="026239C0"/>
    <w:rsid w:val="02E740B2"/>
    <w:rsid w:val="036246EE"/>
    <w:rsid w:val="038D16A3"/>
    <w:rsid w:val="039E002C"/>
    <w:rsid w:val="04352236"/>
    <w:rsid w:val="043E00C0"/>
    <w:rsid w:val="04C609C8"/>
    <w:rsid w:val="05341F61"/>
    <w:rsid w:val="059829F7"/>
    <w:rsid w:val="05E0655E"/>
    <w:rsid w:val="074038C9"/>
    <w:rsid w:val="07685AF7"/>
    <w:rsid w:val="07B76913"/>
    <w:rsid w:val="087D3CD7"/>
    <w:rsid w:val="098B0432"/>
    <w:rsid w:val="0A2C6064"/>
    <w:rsid w:val="0A7C03EB"/>
    <w:rsid w:val="0AA55524"/>
    <w:rsid w:val="0AC43180"/>
    <w:rsid w:val="0C063D7F"/>
    <w:rsid w:val="0C973EF3"/>
    <w:rsid w:val="0CB92443"/>
    <w:rsid w:val="0D45487C"/>
    <w:rsid w:val="0DE8635B"/>
    <w:rsid w:val="0E2671A4"/>
    <w:rsid w:val="0E741E7C"/>
    <w:rsid w:val="0EC56098"/>
    <w:rsid w:val="0ECE0209"/>
    <w:rsid w:val="0EF43C79"/>
    <w:rsid w:val="0F820A16"/>
    <w:rsid w:val="1015584B"/>
    <w:rsid w:val="10260235"/>
    <w:rsid w:val="102B2857"/>
    <w:rsid w:val="126668FE"/>
    <w:rsid w:val="12863394"/>
    <w:rsid w:val="12B92C98"/>
    <w:rsid w:val="1349121A"/>
    <w:rsid w:val="135C2483"/>
    <w:rsid w:val="13B61778"/>
    <w:rsid w:val="13CC10FD"/>
    <w:rsid w:val="1430398F"/>
    <w:rsid w:val="143C5B5D"/>
    <w:rsid w:val="14957A8C"/>
    <w:rsid w:val="149C55AF"/>
    <w:rsid w:val="14BD175C"/>
    <w:rsid w:val="14C97236"/>
    <w:rsid w:val="14CE0577"/>
    <w:rsid w:val="14DB1EEA"/>
    <w:rsid w:val="15306D91"/>
    <w:rsid w:val="15646D93"/>
    <w:rsid w:val="158F6758"/>
    <w:rsid w:val="15A35138"/>
    <w:rsid w:val="15FF3393"/>
    <w:rsid w:val="164C441E"/>
    <w:rsid w:val="166C07D1"/>
    <w:rsid w:val="16970866"/>
    <w:rsid w:val="178D05CA"/>
    <w:rsid w:val="179E3FF3"/>
    <w:rsid w:val="17E74083"/>
    <w:rsid w:val="18BB6769"/>
    <w:rsid w:val="197208D8"/>
    <w:rsid w:val="1A3C0A4F"/>
    <w:rsid w:val="1A6D4CA2"/>
    <w:rsid w:val="1AB941E9"/>
    <w:rsid w:val="1B2F1BEC"/>
    <w:rsid w:val="1B41517F"/>
    <w:rsid w:val="1B6D799C"/>
    <w:rsid w:val="1BA83E25"/>
    <w:rsid w:val="1BE55B38"/>
    <w:rsid w:val="1C1F41CB"/>
    <w:rsid w:val="1C414447"/>
    <w:rsid w:val="1C6F5E03"/>
    <w:rsid w:val="1C8A4470"/>
    <w:rsid w:val="1D573D9A"/>
    <w:rsid w:val="1D74500E"/>
    <w:rsid w:val="1D971354"/>
    <w:rsid w:val="1E284768"/>
    <w:rsid w:val="1EAA1172"/>
    <w:rsid w:val="1EC11420"/>
    <w:rsid w:val="1EC26B9E"/>
    <w:rsid w:val="1F1B54DE"/>
    <w:rsid w:val="1F4605F2"/>
    <w:rsid w:val="1F5C49B3"/>
    <w:rsid w:val="1F833C09"/>
    <w:rsid w:val="1FDD7221"/>
    <w:rsid w:val="20D45B14"/>
    <w:rsid w:val="20F647EE"/>
    <w:rsid w:val="21345060"/>
    <w:rsid w:val="217D4CC8"/>
    <w:rsid w:val="219301FB"/>
    <w:rsid w:val="219A6844"/>
    <w:rsid w:val="223259EA"/>
    <w:rsid w:val="22D01EAE"/>
    <w:rsid w:val="22FB0DB9"/>
    <w:rsid w:val="246A2AE6"/>
    <w:rsid w:val="24DC7A4D"/>
    <w:rsid w:val="251335AB"/>
    <w:rsid w:val="254D5583"/>
    <w:rsid w:val="25AD24E3"/>
    <w:rsid w:val="25C9145B"/>
    <w:rsid w:val="265E02A4"/>
    <w:rsid w:val="26A042D4"/>
    <w:rsid w:val="276709C0"/>
    <w:rsid w:val="2768232A"/>
    <w:rsid w:val="27FF1A02"/>
    <w:rsid w:val="2810425E"/>
    <w:rsid w:val="28367B1E"/>
    <w:rsid w:val="2879797C"/>
    <w:rsid w:val="28820312"/>
    <w:rsid w:val="28C42E0D"/>
    <w:rsid w:val="28FC26C6"/>
    <w:rsid w:val="2902476D"/>
    <w:rsid w:val="29AA0007"/>
    <w:rsid w:val="2A630758"/>
    <w:rsid w:val="2ABE5719"/>
    <w:rsid w:val="2ACC1426"/>
    <w:rsid w:val="2B770D26"/>
    <w:rsid w:val="2BD61FB5"/>
    <w:rsid w:val="2C255827"/>
    <w:rsid w:val="2C341D57"/>
    <w:rsid w:val="2C4337E8"/>
    <w:rsid w:val="2C842840"/>
    <w:rsid w:val="2DCD5E6F"/>
    <w:rsid w:val="2DDF1885"/>
    <w:rsid w:val="2E327F56"/>
    <w:rsid w:val="2E745224"/>
    <w:rsid w:val="2EFB7624"/>
    <w:rsid w:val="2F0F3D19"/>
    <w:rsid w:val="2F71732D"/>
    <w:rsid w:val="2F950970"/>
    <w:rsid w:val="2FFF3857"/>
    <w:rsid w:val="2FFF6C4B"/>
    <w:rsid w:val="32017B26"/>
    <w:rsid w:val="320F6067"/>
    <w:rsid w:val="32164F3F"/>
    <w:rsid w:val="322D7650"/>
    <w:rsid w:val="32786460"/>
    <w:rsid w:val="32F55A29"/>
    <w:rsid w:val="331F5E0C"/>
    <w:rsid w:val="336C27EE"/>
    <w:rsid w:val="33EF2A1A"/>
    <w:rsid w:val="34464B0B"/>
    <w:rsid w:val="344952B5"/>
    <w:rsid w:val="34A9296A"/>
    <w:rsid w:val="34B44109"/>
    <w:rsid w:val="34BE6043"/>
    <w:rsid w:val="352E107D"/>
    <w:rsid w:val="35784579"/>
    <w:rsid w:val="35E301F0"/>
    <w:rsid w:val="364A7B5F"/>
    <w:rsid w:val="37380A84"/>
    <w:rsid w:val="373B6128"/>
    <w:rsid w:val="379B28F7"/>
    <w:rsid w:val="379C72B4"/>
    <w:rsid w:val="37A22431"/>
    <w:rsid w:val="37F665FB"/>
    <w:rsid w:val="37F91B87"/>
    <w:rsid w:val="38FE4CF7"/>
    <w:rsid w:val="392F1EA1"/>
    <w:rsid w:val="39B51D24"/>
    <w:rsid w:val="3A0441B2"/>
    <w:rsid w:val="3A645B07"/>
    <w:rsid w:val="3B207E69"/>
    <w:rsid w:val="3B68794D"/>
    <w:rsid w:val="3B9543F6"/>
    <w:rsid w:val="3CB40D93"/>
    <w:rsid w:val="3CE43D5F"/>
    <w:rsid w:val="3D17795B"/>
    <w:rsid w:val="3DE21330"/>
    <w:rsid w:val="3EA4088D"/>
    <w:rsid w:val="3F3E6668"/>
    <w:rsid w:val="3F937908"/>
    <w:rsid w:val="3FB022B2"/>
    <w:rsid w:val="400C687B"/>
    <w:rsid w:val="404E0486"/>
    <w:rsid w:val="406F3EAB"/>
    <w:rsid w:val="42027F71"/>
    <w:rsid w:val="422D1F6F"/>
    <w:rsid w:val="427E39A4"/>
    <w:rsid w:val="434F25F7"/>
    <w:rsid w:val="4373593F"/>
    <w:rsid w:val="43F5657D"/>
    <w:rsid w:val="444004AE"/>
    <w:rsid w:val="448F7E6A"/>
    <w:rsid w:val="44E37AD7"/>
    <w:rsid w:val="472D713C"/>
    <w:rsid w:val="47522389"/>
    <w:rsid w:val="475E7F6E"/>
    <w:rsid w:val="47D21919"/>
    <w:rsid w:val="483414BC"/>
    <w:rsid w:val="48763A33"/>
    <w:rsid w:val="49BB0A98"/>
    <w:rsid w:val="4A14493F"/>
    <w:rsid w:val="4A1652FB"/>
    <w:rsid w:val="4AA541A9"/>
    <w:rsid w:val="4AA8141B"/>
    <w:rsid w:val="4AD0547D"/>
    <w:rsid w:val="4ADD26F7"/>
    <w:rsid w:val="4B067663"/>
    <w:rsid w:val="4B542EF3"/>
    <w:rsid w:val="4B6B271F"/>
    <w:rsid w:val="4C832695"/>
    <w:rsid w:val="4C936A6A"/>
    <w:rsid w:val="4CCC603A"/>
    <w:rsid w:val="4D361585"/>
    <w:rsid w:val="4D460F46"/>
    <w:rsid w:val="4D842B3C"/>
    <w:rsid w:val="4DDD455A"/>
    <w:rsid w:val="4E5B45E3"/>
    <w:rsid w:val="4EEB31B1"/>
    <w:rsid w:val="4FF34E72"/>
    <w:rsid w:val="50B673DF"/>
    <w:rsid w:val="517B69A0"/>
    <w:rsid w:val="51C37984"/>
    <w:rsid w:val="51DA4537"/>
    <w:rsid w:val="522D52A8"/>
    <w:rsid w:val="5232656F"/>
    <w:rsid w:val="52A949A6"/>
    <w:rsid w:val="533E369D"/>
    <w:rsid w:val="536E3CD2"/>
    <w:rsid w:val="539B7C16"/>
    <w:rsid w:val="53E96B40"/>
    <w:rsid w:val="541F36B7"/>
    <w:rsid w:val="542C3EC7"/>
    <w:rsid w:val="545B09B5"/>
    <w:rsid w:val="54914422"/>
    <w:rsid w:val="54D649E9"/>
    <w:rsid w:val="554048D3"/>
    <w:rsid w:val="56087776"/>
    <w:rsid w:val="56AE4A30"/>
    <w:rsid w:val="56B60637"/>
    <w:rsid w:val="56BE6D1E"/>
    <w:rsid w:val="56C82A8E"/>
    <w:rsid w:val="56D70370"/>
    <w:rsid w:val="570D7D76"/>
    <w:rsid w:val="57607B59"/>
    <w:rsid w:val="57C52B30"/>
    <w:rsid w:val="57CA36CB"/>
    <w:rsid w:val="57ED4BFC"/>
    <w:rsid w:val="58401D97"/>
    <w:rsid w:val="584557DA"/>
    <w:rsid w:val="59585221"/>
    <w:rsid w:val="59D064CA"/>
    <w:rsid w:val="59DD174D"/>
    <w:rsid w:val="59FB5B93"/>
    <w:rsid w:val="5A0931B1"/>
    <w:rsid w:val="5AA632ED"/>
    <w:rsid w:val="5AA7636A"/>
    <w:rsid w:val="5AC566AE"/>
    <w:rsid w:val="5AF035D1"/>
    <w:rsid w:val="5B4334EA"/>
    <w:rsid w:val="5BF322C1"/>
    <w:rsid w:val="5BFC66DB"/>
    <w:rsid w:val="5C2B3EFC"/>
    <w:rsid w:val="5C2E701F"/>
    <w:rsid w:val="5C5370C0"/>
    <w:rsid w:val="5C90717A"/>
    <w:rsid w:val="5C992696"/>
    <w:rsid w:val="5D602572"/>
    <w:rsid w:val="5E2E5FF0"/>
    <w:rsid w:val="5E476E61"/>
    <w:rsid w:val="5E5F0105"/>
    <w:rsid w:val="5ED27B0F"/>
    <w:rsid w:val="5EF60D19"/>
    <w:rsid w:val="5F171C88"/>
    <w:rsid w:val="60094621"/>
    <w:rsid w:val="609C5AE1"/>
    <w:rsid w:val="629109A8"/>
    <w:rsid w:val="62CE3FA2"/>
    <w:rsid w:val="6385715A"/>
    <w:rsid w:val="63FA7FB2"/>
    <w:rsid w:val="66174A54"/>
    <w:rsid w:val="66CF5A9F"/>
    <w:rsid w:val="66D8291F"/>
    <w:rsid w:val="671F3935"/>
    <w:rsid w:val="67B4176B"/>
    <w:rsid w:val="680E3FB5"/>
    <w:rsid w:val="691A5488"/>
    <w:rsid w:val="69C67417"/>
    <w:rsid w:val="69D05861"/>
    <w:rsid w:val="6B84282E"/>
    <w:rsid w:val="6B8F3F04"/>
    <w:rsid w:val="6BA50991"/>
    <w:rsid w:val="6BA90789"/>
    <w:rsid w:val="6D1A0F94"/>
    <w:rsid w:val="6D2B1452"/>
    <w:rsid w:val="6D436926"/>
    <w:rsid w:val="6D6172B3"/>
    <w:rsid w:val="6DB17324"/>
    <w:rsid w:val="6E0077C5"/>
    <w:rsid w:val="6E3A762C"/>
    <w:rsid w:val="6E450FC0"/>
    <w:rsid w:val="6EC92D63"/>
    <w:rsid w:val="6ED4685D"/>
    <w:rsid w:val="6FFD60B1"/>
    <w:rsid w:val="70C727CC"/>
    <w:rsid w:val="70E44173"/>
    <w:rsid w:val="710C01BE"/>
    <w:rsid w:val="713E5CA1"/>
    <w:rsid w:val="717C1AEE"/>
    <w:rsid w:val="71832D43"/>
    <w:rsid w:val="71AB127C"/>
    <w:rsid w:val="71EE1E2D"/>
    <w:rsid w:val="727A7322"/>
    <w:rsid w:val="728D3F3B"/>
    <w:rsid w:val="72B71EDF"/>
    <w:rsid w:val="73651989"/>
    <w:rsid w:val="73C83E80"/>
    <w:rsid w:val="754B1A3D"/>
    <w:rsid w:val="75697827"/>
    <w:rsid w:val="75D36D91"/>
    <w:rsid w:val="75E957B2"/>
    <w:rsid w:val="76430DF0"/>
    <w:rsid w:val="76440B56"/>
    <w:rsid w:val="76CD4DA0"/>
    <w:rsid w:val="7702164A"/>
    <w:rsid w:val="77713C66"/>
    <w:rsid w:val="77ED3049"/>
    <w:rsid w:val="787E7C64"/>
    <w:rsid w:val="79871F26"/>
    <w:rsid w:val="799B4AEC"/>
    <w:rsid w:val="79B53EFB"/>
    <w:rsid w:val="7A4679A9"/>
    <w:rsid w:val="7A5C45AC"/>
    <w:rsid w:val="7A684EAA"/>
    <w:rsid w:val="7AA37CFC"/>
    <w:rsid w:val="7ABE0EDC"/>
    <w:rsid w:val="7AD90D62"/>
    <w:rsid w:val="7C2D46CB"/>
    <w:rsid w:val="7C9873FF"/>
    <w:rsid w:val="7CA93F92"/>
    <w:rsid w:val="7CBA31BE"/>
    <w:rsid w:val="7CDD2A77"/>
    <w:rsid w:val="7D0A61B7"/>
    <w:rsid w:val="7D3B1E07"/>
    <w:rsid w:val="7E1516BB"/>
    <w:rsid w:val="7E181E21"/>
    <w:rsid w:val="7EDB197A"/>
    <w:rsid w:val="7F66377B"/>
    <w:rsid w:val="7F775D2E"/>
    <w:rsid w:val="7F79022D"/>
    <w:rsid w:val="7FCD478E"/>
    <w:rsid w:val="7FFA7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rPr>
      <w:rFonts w:ascii="Times New Roman" w:hAnsi="Times New Roman"/>
    </w:rPr>
  </w:style>
  <w:style w:type="paragraph" w:styleId="3">
    <w:name w:val="Balloon Text"/>
    <w:basedOn w:val="1"/>
    <w:link w:val="9"/>
    <w:qFormat/>
    <w:uiPriority w:val="0"/>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Table Paragraph"/>
    <w:basedOn w:val="1"/>
    <w:autoRedefine/>
    <w:qFormat/>
    <w:uiPriority w:val="1"/>
    <w:rPr>
      <w:rFonts w:ascii="宋体" w:hAnsi="宋体" w:cs="宋体"/>
      <w:lang w:val="zh-CN" w:bidi="zh-CN"/>
    </w:rPr>
  </w:style>
  <w:style w:type="paragraph" w:customStyle="1" w:styleId="8">
    <w:name w:val="正文 New New New New New New"/>
    <w:autoRedefine/>
    <w:qFormat/>
    <w:uiPriority w:val="0"/>
    <w:pPr>
      <w:widowControl w:val="0"/>
      <w:spacing w:line="240" w:lineRule="atLeast"/>
      <w:jc w:val="both"/>
    </w:pPr>
    <w:rPr>
      <w:rFonts w:ascii="Times New Roman" w:hAnsi="Times New Roman" w:eastAsia="宋体" w:cs="Times New Roman"/>
      <w:kern w:val="2"/>
      <w:sz w:val="21"/>
      <w:szCs w:val="24"/>
      <w:lang w:val="en-US" w:eastAsia="zh-CN" w:bidi="ar-SA"/>
    </w:rPr>
  </w:style>
  <w:style w:type="character" w:customStyle="1" w:styleId="9">
    <w:name w:val="批注框文本 字符"/>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1301</Words>
  <Characters>1327</Characters>
  <Lines>9</Lines>
  <Paragraphs>2</Paragraphs>
  <TotalTime>0</TotalTime>
  <ScaleCrop>false</ScaleCrop>
  <LinksUpToDate>false</LinksUpToDate>
  <CharactersWithSpaces>1327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2024-05-20T08:18:00Z</dcterms:created>
  <dc:creator>hg-wentw603</dc:creator>
  <cp:lastModifiedBy>zephyr</cp:lastModifiedBy>
  <dcterms:modified xsi:type="dcterms:W3CDTF">2024-06-24T07:15:09Z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A0EBED9E911E4ECDA181DF05434E7D5D</vt:lpwstr>
  </property>
</Properties>
</file>