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66BBB7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 w:val="0"/>
        <w:snapToGrid w:val="0"/>
        <w:spacing w:beforeLines="0" w:afterLines="0" w:line="590" w:lineRule="exact"/>
        <w:ind w:firstLine="0" w:firstLineChars="0"/>
        <w:outlineLvl w:val="1"/>
        <w:rPr>
          <w:rFonts w:ascii="宋体" w:hAnsi="宋体" w:eastAsia="黑体" w:cs="Times New Roman"/>
          <w:bCs/>
          <w:color w:val="auto"/>
          <w:kern w:val="0"/>
          <w:sz w:val="32"/>
          <w:szCs w:val="32"/>
        </w:rPr>
      </w:pPr>
      <w:r>
        <w:rPr>
          <w:rFonts w:hint="default" w:ascii="宋体" w:hAnsi="宋体" w:eastAsia="黑体" w:cs="Times New Roman"/>
          <w:bCs/>
          <w:color w:val="auto"/>
          <w:kern w:val="0"/>
          <w:sz w:val="32"/>
          <w:szCs w:val="32"/>
        </w:rPr>
        <w:t>附件1</w:t>
      </w:r>
    </w:p>
    <w:p w14:paraId="4908BC9E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 w:val="0"/>
        <w:snapToGrid w:val="0"/>
        <w:spacing w:beforeLines="0" w:afterLines="0" w:line="590" w:lineRule="exact"/>
        <w:ind w:firstLine="0" w:firstLineChars="0"/>
        <w:jc w:val="center"/>
        <w:outlineLvl w:val="1"/>
        <w:rPr>
          <w:rFonts w:hint="default" w:ascii="宋体" w:hAnsi="宋体" w:eastAsia="方正小标宋简体" w:cs="Times New Roman"/>
          <w:bCs/>
          <w:color w:val="auto"/>
          <w:kern w:val="0"/>
          <w:sz w:val="44"/>
          <w:szCs w:val="44"/>
          <w:lang w:val="en-US" w:eastAsia="zh-CN" w:bidi="ar-SA"/>
        </w:rPr>
      </w:pPr>
    </w:p>
    <w:p w14:paraId="3FE17AE5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 w:val="0"/>
        <w:snapToGrid w:val="0"/>
        <w:spacing w:beforeLines="0" w:afterLines="0" w:line="590" w:lineRule="exact"/>
        <w:ind w:firstLine="0" w:firstLineChars="0"/>
        <w:jc w:val="center"/>
        <w:outlineLvl w:val="1"/>
        <w:rPr>
          <w:rFonts w:ascii="宋体" w:hAnsi="宋体" w:eastAsia="方正小标宋简体" w:cs="Times New Roman"/>
          <w:bCs/>
          <w:color w:val="auto"/>
          <w:kern w:val="0"/>
          <w:sz w:val="44"/>
          <w:szCs w:val="44"/>
        </w:rPr>
      </w:pPr>
      <w:r>
        <w:rPr>
          <w:rFonts w:hint="default" w:ascii="宋体" w:hAnsi="宋体" w:eastAsia="方正小标宋简体" w:cs="Times New Roman"/>
          <w:bCs/>
          <w:color w:val="auto"/>
          <w:kern w:val="0"/>
          <w:sz w:val="44"/>
          <w:szCs w:val="44"/>
          <w:lang w:val="en-US" w:eastAsia="zh-CN" w:bidi="ar-SA"/>
        </w:rPr>
        <w:t>委托立法研究</w:t>
      </w:r>
      <w:r>
        <w:rPr>
          <w:rFonts w:hint="default" w:ascii="宋体" w:hAnsi="宋体" w:eastAsia="方正小标宋简体" w:cs="Times New Roman"/>
          <w:bCs/>
          <w:color w:val="auto"/>
          <w:kern w:val="0"/>
          <w:sz w:val="44"/>
          <w:szCs w:val="44"/>
        </w:rPr>
        <w:t>项目清单及经费</w:t>
      </w:r>
    </w:p>
    <w:p w14:paraId="1011193C"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 w:val="0"/>
        <w:snapToGrid w:val="0"/>
        <w:spacing w:beforeLines="0" w:afterLines="0" w:line="590" w:lineRule="exact"/>
        <w:ind w:firstLine="0" w:firstLineChars="0"/>
        <w:jc w:val="both"/>
        <w:outlineLvl w:val="1"/>
        <w:rPr>
          <w:rFonts w:ascii="宋体" w:hAnsi="宋体" w:eastAsia="方正小标宋简体" w:cs="Times New Roman"/>
          <w:bCs/>
          <w:color w:val="auto"/>
          <w:kern w:val="0"/>
          <w:sz w:val="44"/>
          <w:szCs w:val="44"/>
        </w:rPr>
      </w:pPr>
    </w:p>
    <w:tbl>
      <w:tblPr>
        <w:tblStyle w:val="3"/>
        <w:tblW w:w="88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6663"/>
        <w:gridCol w:w="1372"/>
      </w:tblGrid>
      <w:tr w14:paraId="1EF984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3D0845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default"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  <w:t>序号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75F0B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default"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  <w:t>委托项目名称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5CC5D0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default"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  <w:t>经费</w:t>
            </w:r>
          </w:p>
          <w:p w14:paraId="350B38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default" w:ascii="宋体" w:hAnsi="宋体" w:eastAsia="黑体" w:cs="Times New Roman"/>
                <w:bCs/>
                <w:color w:val="auto"/>
                <w:kern w:val="0"/>
                <w:sz w:val="32"/>
                <w:szCs w:val="32"/>
              </w:rPr>
              <w:t>（万元）</w:t>
            </w:r>
          </w:p>
        </w:tc>
      </w:tr>
      <w:tr w14:paraId="3FCF5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415C2E2E">
            <w:pPr>
              <w:keepNext w:val="0"/>
              <w:keepLines w:val="0"/>
              <w:pageBreakBefore w:val="0"/>
              <w:tabs>
                <w:tab w:val="left" w:pos="533"/>
              </w:tabs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752748FF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both"/>
              <w:outlineLvl w:val="9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" w:eastAsia="zh-CN"/>
              </w:rPr>
            </w:pPr>
            <w:r>
              <w:rPr>
                <w:rFonts w:hint="eastAsia" w:ascii="宋体" w:hAnsi="宋体" w:eastAsia="仿宋_GB2312" w:cs="仿宋_GB2312"/>
                <w:color w:val="auto"/>
                <w:kern w:val="0"/>
                <w:sz w:val="32"/>
                <w:szCs w:val="32"/>
                <w:lang w:val="en-US" w:eastAsia="zh-CN" w:bidi="ar-SA"/>
              </w:rPr>
              <w:t>《广东</w:t>
            </w:r>
            <w:r>
              <w:rPr>
                <w:rFonts w:hint="eastAsia" w:ascii="宋体" w:hAnsi="宋体" w:eastAsia="仿宋_GB2312" w:cs="仿宋_GB2312"/>
                <w:kern w:val="0"/>
                <w:sz w:val="32"/>
                <w:szCs w:val="32"/>
                <w:lang w:val="en-US" w:eastAsia="zh-CN"/>
              </w:rPr>
              <w:t>省数据条例</w:t>
            </w:r>
            <w:r>
              <w:rPr>
                <w:rFonts w:hint="eastAsia" w:ascii="宋体" w:hAnsi="宋体" w:eastAsia="仿宋_GB2312" w:cs="仿宋_GB2312"/>
                <w:kern w:val="0"/>
                <w:sz w:val="32"/>
                <w:szCs w:val="32"/>
                <w:lang w:val="en" w:eastAsia="zh-CN"/>
              </w:rPr>
              <w:t>》立法问题研究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2E0210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6B46D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1BD238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51053CAE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both"/>
              <w:outlineLvl w:val="9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" w:eastAsia="zh-CN"/>
              </w:rPr>
            </w:pPr>
            <w:r>
              <w:rPr>
                <w:rFonts w:hint="eastAsia" w:ascii="宋体" w:hAnsi="宋体" w:eastAsia="仿宋_GB2312" w:cs="仿宋_GB2312"/>
                <w:color w:val="auto"/>
                <w:kern w:val="0"/>
                <w:sz w:val="32"/>
                <w:szCs w:val="32"/>
                <w:lang w:val="en-US" w:eastAsia="zh-CN" w:bidi="ar-SA"/>
              </w:rPr>
              <w:t>《广东</w:t>
            </w:r>
            <w:r>
              <w:rPr>
                <w:rFonts w:hint="eastAsia" w:ascii="宋体" w:hAnsi="宋体" w:eastAsia="仿宋_GB2312" w:cs="仿宋_GB2312"/>
                <w:kern w:val="0"/>
                <w:sz w:val="32"/>
                <w:szCs w:val="32"/>
                <w:lang w:val="en-US" w:eastAsia="zh-CN" w:bidi="ar-SA"/>
              </w:rPr>
              <w:t>省消费者权益保护条例》立法问题研究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4AD64C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46EA6A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282C8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7B2A7A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left"/>
              <w:outlineLvl w:val="1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" w:eastAsia="zh-CN" w:bidi="ar-SA"/>
              </w:rPr>
            </w:pPr>
            <w:r>
              <w:rPr>
                <w:rFonts w:hint="eastAsia" w:ascii="宋体" w:hAnsi="宋体" w:eastAsia="仿宋_GB2312" w:cs="仿宋_GB2312"/>
                <w:kern w:val="0"/>
                <w:sz w:val="32"/>
                <w:szCs w:val="32"/>
                <w:lang w:val="en-US" w:eastAsia="zh-CN" w:bidi="ar-SA"/>
              </w:rPr>
              <w:t>《广东省民办教育条例》</w:t>
            </w:r>
            <w:r>
              <w:rPr>
                <w:rFonts w:hint="eastAsia" w:ascii="宋体" w:hAnsi="宋体" w:eastAsia="仿宋_GB2312" w:cs="仿宋_GB2312"/>
                <w:b w:val="0"/>
                <w:bCs w:val="0"/>
                <w:kern w:val="0"/>
                <w:sz w:val="32"/>
                <w:szCs w:val="32"/>
                <w:lang w:val="en-US" w:eastAsia="zh-CN" w:bidi="ar-SA"/>
              </w:rPr>
              <w:t>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437F44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3AB8F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EB2CA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09CA78D2">
            <w:pPr>
              <w:numPr>
                <w:ilvl w:val="0"/>
                <w:numId w:val="0"/>
              </w:numPr>
              <w:spacing w:line="590" w:lineRule="exact"/>
              <w:outlineLvl w:val="9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关于人工智能和机器人立法重点问题研究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4036A3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32274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161E94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6477E208">
            <w:pP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关于广东省建设现代化产业体系立法问题研究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565451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32225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498B0D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5EE2D160">
            <w:pPr>
              <w:pStyle w:val="5"/>
              <w:numPr>
                <w:ilvl w:val="0"/>
                <w:numId w:val="0"/>
              </w:numPr>
              <w:adjustRightInd w:val="0"/>
              <w:snapToGrid w:val="0"/>
              <w:spacing w:beforeLines="0" w:afterLines="0" w:line="480" w:lineRule="exact"/>
              <w:ind w:firstLine="0"/>
              <w:textAlignment w:val="auto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" w:eastAsia="zh-CN"/>
              </w:rPr>
              <w:t>《广东省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-US" w:eastAsia="zh-CN"/>
              </w:rPr>
              <w:t>低空经济发展条例》</w:t>
            </w:r>
            <w:r>
              <w:rPr>
                <w:rFonts w:hint="eastAsia" w:ascii="仿宋_GB2312" w:hAnsi="仿宋_GB2312" w:eastAsia="仿宋_GB2312" w:cs="仿宋_GB2312"/>
                <w:color w:val="auto"/>
                <w:sz w:val="32"/>
                <w:szCs w:val="32"/>
                <w:lang w:val="en" w:eastAsia="zh-CN"/>
              </w:rPr>
              <w:t>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E84CF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3D113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D8524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51E98656">
            <w:pPr>
              <w:pStyle w:val="5"/>
              <w:numPr>
                <w:ilvl w:val="0"/>
                <w:numId w:val="0"/>
              </w:numPr>
              <w:adjustRightInd w:val="0"/>
              <w:snapToGrid w:val="0"/>
              <w:spacing w:beforeLines="0" w:afterLines="0" w:line="480" w:lineRule="exact"/>
              <w:ind w:firstLine="0"/>
              <w:jc w:val="both"/>
              <w:textAlignment w:val="auto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sz w:val="32"/>
                <w:szCs w:val="32"/>
                <w:lang w:val="en-US" w:eastAsia="zh-CN"/>
              </w:rPr>
              <w:t>《广东省</w:t>
            </w:r>
            <w:r>
              <w:rPr>
                <w:rFonts w:hint="eastAsia" w:ascii="宋体" w:hAnsi="宋体" w:eastAsia="仿宋_GB2312" w:cs="仿宋_GB2312"/>
                <w:color w:val="auto"/>
                <w:sz w:val="32"/>
                <w:szCs w:val="32"/>
                <w:lang w:val="en" w:eastAsia="zh-CN"/>
              </w:rPr>
              <w:t>突发事件应对条例》立法问题研究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695963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</w:rPr>
              <w:t>10</w:t>
            </w:r>
          </w:p>
        </w:tc>
      </w:tr>
      <w:tr w14:paraId="687166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7AFCB0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49CF4AD7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left="0" w:leftChars="0" w:firstLine="0" w:firstLineChars="0"/>
              <w:jc w:val="both"/>
              <w:outlineLvl w:val="9"/>
              <w:rPr>
                <w:rFonts w:hint="eastAsia" w:ascii="宋体" w:hAnsi="宋体" w:eastAsia="仿宋_GB2312" w:cs="仿宋_GB2312"/>
                <w:b w:val="0"/>
                <w:bCs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/>
              </w:rPr>
              <w:t>关于深化立法领域改革的理论与实践研究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506459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3B841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09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338578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6663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4A8D4D9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both"/>
              <w:textAlignment w:val="auto"/>
              <w:outlineLvl w:val="1"/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u w:val="none"/>
                <w:lang w:eastAsia="zh-CN" w:bidi="ar"/>
              </w:rPr>
            </w:pPr>
            <w:r>
              <w:rPr>
                <w:rFonts w:hint="eastAsia" w:ascii="宋体" w:hAnsi="宋体" w:eastAsia="仿宋_GB2312" w:cs="仿宋_GB2312"/>
                <w:kern w:val="0"/>
                <w:sz w:val="32"/>
                <w:szCs w:val="32"/>
                <w:lang w:val="en-US" w:eastAsia="zh-CN"/>
              </w:rPr>
              <w:t>关于开展环南昆山—罗浮山县镇村高质量发展引领区建设市域协同立法研究</w:t>
            </w:r>
          </w:p>
        </w:tc>
        <w:tc>
          <w:tcPr>
            <w:tcW w:w="1372" w:type="dxa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top"/>
          </w:tcPr>
          <w:p w14:paraId="78DDE6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center"/>
              <w:outlineLvl w:val="1"/>
              <w:rPr>
                <w:rFonts w:hint="default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仿宋_GB2312" w:cs="仿宋_GB2312"/>
                <w:b w:val="0"/>
                <w:bCs/>
                <w:color w:val="auto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</w:tr>
      <w:tr w14:paraId="6831B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844" w:type="dxa"/>
            <w:gridSpan w:val="3"/>
            <w:noWrap w:val="0"/>
            <w:tcMar>
              <w:top w:w="57" w:type="dxa"/>
              <w:left w:w="51" w:type="dxa"/>
              <w:bottom w:w="57" w:type="dxa"/>
              <w:right w:w="51" w:type="dxa"/>
            </w:tcMar>
            <w:vAlign w:val="center"/>
          </w:tcPr>
          <w:p w14:paraId="6280BE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/>
              <w:bidi w:val="0"/>
              <w:adjustRightInd w:val="0"/>
              <w:snapToGrid w:val="0"/>
              <w:spacing w:beforeLines="0" w:afterLines="0" w:line="480" w:lineRule="exact"/>
              <w:ind w:firstLine="0" w:firstLineChars="0"/>
              <w:jc w:val="both"/>
              <w:outlineLvl w:val="1"/>
              <w:rPr>
                <w:rFonts w:hint="eastAsia" w:ascii="宋体" w:hAnsi="宋体" w:eastAsia="方正仿宋_GBK" w:cs="方正仿宋_GBK"/>
                <w:bCs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方正仿宋_GBK" w:cs="方正仿宋_GBK"/>
                <w:bCs/>
                <w:color w:val="auto"/>
                <w:kern w:val="0"/>
                <w:sz w:val="32"/>
                <w:szCs w:val="32"/>
                <w:lang w:val="en-US" w:eastAsia="zh-CN"/>
              </w:rPr>
              <w:t>共计：90万元</w:t>
            </w:r>
          </w:p>
        </w:tc>
      </w:tr>
    </w:tbl>
    <w:p w14:paraId="6AC583F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BA5A34"/>
    <w:rsid w:val="01BA5A34"/>
    <w:rsid w:val="0F3316A3"/>
    <w:rsid w:val="18FA6ABC"/>
    <w:rsid w:val="26D109E8"/>
    <w:rsid w:val="316E5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Normal Indent1"/>
    <w:basedOn w:val="1"/>
    <w:qFormat/>
    <w:uiPriority w:val="0"/>
    <w:pPr>
      <w:adjustRightInd w:val="0"/>
      <w:spacing w:line="360" w:lineRule="auto"/>
      <w:ind w:firstLine="420"/>
      <w:textAlignment w:val="baseline"/>
    </w:pPr>
    <w:rPr>
      <w:rFonts w:ascii="Calibri" w:hAnsi="Calibri" w:eastAsia="宋体"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2025-04-17T10:55:00Z</dcterms:created>
  <dc:creator>悦昙幻</dc:creator>
  <cp:lastModifiedBy>悦昙幻</cp:lastModifiedBy>
  <dcterms:modified xsi:type="dcterms:W3CDTF">2025-04-17T10:56:27Z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058FBEB016574BC4B041F224F7C4BF0B_11</vt:lpwstr>
  </property>
  <property fmtid="{D5CDD505-2E9C-101B-9397-08002B2CF9AE}" pid="4" name="KSOTemplateDocerSaveRecord">
    <vt:lpwstr>eyJoZGlkIjoiMDAxM2ZmMTMwZjNmYzE0ZTJmZDU4NDQ3NDhjZmI2OTAiLCJ1c2VySWQiOiI1MjI1NDE1MTYifQ==</vt:lpwstr>
  </property>
</Properties>
</file>