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大三好学生标兵申请条件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符合国家奖学金评审条件，体质测试成绩达到学校“三好学生”评选要求，同时符合以下条件之一者可提出申请，最终由学校通过组织评审或答辩等方式确定。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本学年度荣获省级以上“三好学生”或“优秀学生干部”等具有重大影响的荣誉称号；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必修课单科首次成绩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仿宋_GB2312" w:eastAsia="仿宋_GB2312"/>
          <w:sz w:val="32"/>
          <w:szCs w:val="32"/>
        </w:rPr>
        <w:t>分以上（含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仿宋_GB2312" w:eastAsia="仿宋_GB2312"/>
          <w:sz w:val="32"/>
          <w:szCs w:val="32"/>
        </w:rPr>
        <w:t>分）；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获得国际级科技学术竞赛或科技成果奖（含个人项目和集体项目）前二名（或二等奖及以上）；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获得国家级科技学术竞赛或科技成果第一名（或一等奖）的个人项目或集体项目的主要负责人；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获得国家级科技学术竞赛或科技成果第二名（或二等奖及以上）的个人项目或集体项目排名第一的负责人；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获得省级科技竞赛或科技成果第一名（或一等奖）的个人项目或集体项目排名第一的负责人；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以第一作者发表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篇以上（含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篇）</w:t>
      </w:r>
      <w:r>
        <w:rPr>
          <w:rFonts w:ascii="Times New Roman" w:hAnsi="Times New Roman" w:eastAsia="仿宋_GB2312"/>
          <w:sz w:val="32"/>
          <w:szCs w:val="32"/>
        </w:rPr>
        <w:t>SCI</w:t>
      </w:r>
      <w:r>
        <w:rPr>
          <w:rFonts w:hint="eastAsia" w:ascii="仿宋_GB2312" w:eastAsia="仿宋_GB2312"/>
          <w:sz w:val="32"/>
          <w:szCs w:val="32"/>
        </w:rPr>
        <w:t>收录论文、</w:t>
      </w:r>
      <w:r>
        <w:rPr>
          <w:rFonts w:ascii="仿宋_GB2312" w:eastAsia="仿宋_GB2312"/>
          <w:sz w:val="32"/>
          <w:szCs w:val="32"/>
        </w:rPr>
        <w:t>EI</w:t>
      </w:r>
      <w:r>
        <w:rPr>
          <w:rFonts w:hint="eastAsia" w:ascii="仿宋_GB2312" w:eastAsia="仿宋_GB2312"/>
          <w:sz w:val="32"/>
          <w:szCs w:val="32"/>
        </w:rPr>
        <w:t>光盘版收录期刊论文、人文社会科学重要期刊中的</w:t>
      </w:r>
      <w:r>
        <w:rPr>
          <w:rFonts w:hint="eastAsia" w:ascii="宋体" w:hAnsi="宋体" w:cs="宋体"/>
          <w:sz w:val="32"/>
          <w:szCs w:val="32"/>
        </w:rPr>
        <w:t>Ⅱ</w:t>
      </w:r>
      <w:r>
        <w:rPr>
          <w:rFonts w:hint="eastAsia" w:ascii="仿宋_GB2312" w:eastAsia="仿宋_GB2312"/>
          <w:sz w:val="32"/>
          <w:szCs w:val="32"/>
        </w:rPr>
        <w:t>类期刊论文；以第一作者发表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篇以上（含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篇）</w:t>
      </w:r>
      <w:r>
        <w:rPr>
          <w:rFonts w:ascii="Times New Roman" w:hAnsi="Times New Roman" w:eastAsia="仿宋_GB2312"/>
          <w:sz w:val="32"/>
          <w:szCs w:val="32"/>
        </w:rPr>
        <w:t>EI</w:t>
      </w:r>
      <w:r>
        <w:rPr>
          <w:rFonts w:hint="eastAsia" w:ascii="仿宋_GB2312" w:eastAsia="仿宋_GB2312"/>
          <w:sz w:val="32"/>
          <w:szCs w:val="32"/>
        </w:rPr>
        <w:t>光盘版收录的其它论文、</w:t>
      </w:r>
      <w:r>
        <w:rPr>
          <w:rFonts w:ascii="Times New Roman" w:hAnsi="Times New Roman" w:eastAsia="仿宋_GB2312"/>
          <w:sz w:val="32"/>
          <w:szCs w:val="32"/>
        </w:rPr>
        <w:t>ISSHP</w:t>
      </w:r>
      <w:r>
        <w:rPr>
          <w:rFonts w:hint="eastAsia" w:ascii="仿宋_GB2312" w:eastAsia="仿宋_GB2312"/>
          <w:sz w:val="32"/>
          <w:szCs w:val="32"/>
        </w:rPr>
        <w:t>收录的论文、中文人文社会科学重要期刊中的</w:t>
      </w:r>
      <w:r>
        <w:rPr>
          <w:rFonts w:hint="eastAsia" w:ascii="宋体" w:hAnsi="宋体" w:cs="宋体"/>
          <w:sz w:val="32"/>
          <w:szCs w:val="32"/>
        </w:rPr>
        <w:t>Ⅲ</w:t>
      </w:r>
      <w:r>
        <w:rPr>
          <w:rFonts w:hint="eastAsia" w:ascii="仿宋_GB2312" w:eastAsia="仿宋_GB2312"/>
          <w:sz w:val="32"/>
          <w:szCs w:val="32"/>
        </w:rPr>
        <w:t>类期刊论文；以第一作者发表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篇以上（含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篇）中文核心期刊、</w:t>
      </w:r>
      <w:r>
        <w:rPr>
          <w:rFonts w:ascii="Times New Roman" w:hAnsi="Times New Roman" w:eastAsia="仿宋_GB2312"/>
          <w:sz w:val="32"/>
          <w:szCs w:val="32"/>
        </w:rPr>
        <w:t>ISTP</w:t>
      </w:r>
      <w:r>
        <w:rPr>
          <w:rFonts w:hint="eastAsia" w:ascii="仿宋_GB2312" w:eastAsia="仿宋_GB2312"/>
          <w:sz w:val="32"/>
          <w:szCs w:val="32"/>
        </w:rPr>
        <w:t>收录的论文；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有实用价值的个人专利（需有专利授权证书）。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eastAsia="仿宋_GB2312"/>
          <w:sz w:val="32"/>
          <w:szCs w:val="32"/>
        </w:rPr>
        <w:t>根据学校学生体质测试管理有关规定，体质测试五项平均分75分及以上者（其中男生引体向上不少于5个，或肥胖男生游泳成绩不低于60分），方可参加“十大三好学生标兵”、“三好学生”、“优秀学生干部”等荣誉称号的评选。</w:t>
      </w:r>
    </w:p>
    <w:p>
      <w:pPr>
        <w:ind w:left="0" w:leftChars="0" w:firstLine="419" w:firstLineChars="131"/>
        <w:jc w:val="left"/>
        <w:rPr>
          <w:rFonts w:hint="eastAsia"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Latha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5B"/>
    <w:rsid w:val="00583FD9"/>
    <w:rsid w:val="006E0303"/>
    <w:rsid w:val="0071055B"/>
    <w:rsid w:val="007A0700"/>
    <w:rsid w:val="00D21335"/>
    <w:rsid w:val="28F24834"/>
    <w:rsid w:val="4A726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</Words>
  <Characters>12</Characters>
  <Lines>1</Lines>
  <Paragraphs>1</Paragraphs>
  <ScaleCrop>false</ScaleCrop>
  <LinksUpToDate>false</LinksUpToDate>
  <CharactersWithSpaces>12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2015-10-26T09:02:00Z</dcterms:created>
  <dc:creator>wuqzh</dc:creator>
  <cp:lastModifiedBy>scut</cp:lastModifiedBy>
  <dcterms:modified xsi:type="dcterms:W3CDTF">2015-10-26T09:15:54Z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