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DCE57B">
      <w:pPr>
        <w:ind w:firstLine="482"/>
        <w:jc w:val="center"/>
        <w:rPr>
          <w:b/>
          <w:bCs/>
        </w:rPr>
      </w:pPr>
      <w:r>
        <w:rPr>
          <w:rFonts w:hint="eastAsia"/>
          <w:b/>
          <w:bCs/>
        </w:rPr>
        <w:t>科研业绩纳入奖学金评审的实施办法</w:t>
      </w:r>
    </w:p>
    <w:p w14:paraId="175D6274">
      <w:pPr>
        <w:ind w:firstLine="480"/>
      </w:pPr>
    </w:p>
    <w:p w14:paraId="7350C43C">
      <w:pPr>
        <w:ind w:firstLine="480"/>
      </w:pPr>
      <w:r>
        <w:rPr>
          <w:rFonts w:hint="eastAsia"/>
        </w:rPr>
        <w:t>为科学合理地制定奖学金评审指标体系，保证科研业绩计算依规进行，根据《研究生国家奖学金管理暂行办法》（财教〔2012〕342号）、《普通高等学校研究生国家奖学金评审办法》（财教〔2014〕1号），制定本办法。</w:t>
      </w:r>
    </w:p>
    <w:p w14:paraId="6066CCFB">
      <w:pPr>
        <w:ind w:firstLine="480"/>
      </w:pPr>
    </w:p>
    <w:p w14:paraId="2F18F9BB">
      <w:pPr>
        <w:ind w:firstLine="482"/>
        <w:jc w:val="center"/>
        <w:outlineLvl w:val="0"/>
      </w:pPr>
      <w:r>
        <w:rPr>
          <w:rFonts w:hint="eastAsia"/>
          <w:b/>
          <w:bCs/>
        </w:rPr>
        <w:t>第一章  总则</w:t>
      </w:r>
    </w:p>
    <w:p w14:paraId="4034742C">
      <w:pPr>
        <w:pStyle w:val="11"/>
        <w:ind w:left="960" w:hanging="960"/>
        <w:rPr>
          <w:rFonts w:hint="default"/>
        </w:rPr>
      </w:pPr>
      <w:r>
        <w:t>纳入奖学金评审的</w:t>
      </w:r>
      <w:r>
        <w:rPr>
          <w:rFonts w:hint="default"/>
        </w:rPr>
        <w:t>科研业绩由四部分构成：论文发表积分、论文竞赛获奖积分、</w:t>
      </w:r>
      <w:r>
        <w:rPr>
          <w:color w:val="000000" w:themeColor="text1"/>
          <w14:textFill>
            <w14:solidFill>
              <w14:schemeClr w14:val="tx1"/>
            </w14:solidFill>
          </w14:textFill>
        </w:rPr>
        <w:t>学科</w:t>
      </w:r>
      <w:r>
        <w:rPr>
          <w:rFonts w:hint="default"/>
        </w:rPr>
        <w:t>竞赛获奖积分、专利和软件著作积分。</w:t>
      </w:r>
    </w:p>
    <w:p w14:paraId="6CB39496">
      <w:pPr>
        <w:pStyle w:val="11"/>
        <w:ind w:left="960" w:hanging="960"/>
        <w:rPr>
          <w:rFonts w:hint="default"/>
        </w:rPr>
      </w:pPr>
      <w:r>
        <w:rPr>
          <w:rFonts w:hint="default"/>
        </w:rPr>
        <w:t>科研业绩积分等于论文发表积分、论文竞赛获奖积分、</w:t>
      </w:r>
      <w:r>
        <w:rPr>
          <w:color w:val="000000" w:themeColor="text1"/>
          <w14:textFill>
            <w14:solidFill>
              <w14:schemeClr w14:val="tx1"/>
            </w14:solidFill>
          </w14:textFill>
        </w:rPr>
        <w:t>学科</w:t>
      </w:r>
      <w:r>
        <w:rPr>
          <w:rFonts w:hint="default"/>
        </w:rPr>
        <w:t>竞赛获奖积分、专利和软件著作积分四种单项积分之和。每一具体科研单项积分等于加分级别乘以加分比例。加分级别由加分项目本身属性确定，加分比例由成果所属人员构成情况确定。</w:t>
      </w:r>
    </w:p>
    <w:p w14:paraId="34A683D3">
      <w:pPr>
        <w:pStyle w:val="11"/>
        <w:ind w:left="960" w:hanging="960"/>
        <w:rPr>
          <w:rFonts w:hint="default"/>
        </w:rPr>
      </w:pPr>
      <w:r>
        <w:rPr>
          <w:rFonts w:hint="eastAsia"/>
          <w:lang w:eastAsia="zh-CN"/>
        </w:rPr>
        <w:t>加分级别</w:t>
      </w:r>
      <w:r>
        <w:rPr>
          <w:rFonts w:hint="default"/>
        </w:rPr>
        <w:t>执行降级赋分处理时，若该科研业绩的原始加分级别已经是该层次的最低赋分（或下降2级后，在该层次中出现赋分设计空缺），则降级赋分等于该层次最低原始赋分的50%。若学科竞赛、论文竞赛获奖级别清晰，在一等奖之上设有特等奖的，赋分时将特等奖按最高奖赋分，依次类推，三等奖按其他奖赋分。该类型的省级学科竞赛三等奖的降级原始级别分等于原省级三等奖的50%。</w:t>
      </w:r>
    </w:p>
    <w:p w14:paraId="52356817">
      <w:pPr>
        <w:pStyle w:val="11"/>
        <w:ind w:left="960" w:hanging="960"/>
        <w:rPr>
          <w:rFonts w:hint="default"/>
        </w:rPr>
      </w:pPr>
      <w:r>
        <w:t>科研业绩的评审程序</w:t>
      </w:r>
    </w:p>
    <w:p w14:paraId="1C504EA3">
      <w:pPr>
        <w:ind w:left="480" w:leftChars="200" w:firstLine="480"/>
        <w:jc w:val="left"/>
        <w:rPr>
          <w:color w:val="FF0000"/>
        </w:rPr>
      </w:pPr>
      <w:r>
        <w:rPr>
          <w:rFonts w:hint="eastAsia"/>
        </w:rPr>
        <w:t>1、启动清单外科研业绩申请纳入</w:t>
      </w:r>
      <w:r>
        <w:rPr>
          <w:rFonts w:hint="eastAsia"/>
          <w:lang w:eastAsia="zh-CN"/>
        </w:rPr>
        <w:t>新</w:t>
      </w:r>
      <w:r>
        <w:rPr>
          <w:rFonts w:hint="eastAsia"/>
        </w:rPr>
        <w:t>学年奖学金评审征集期</w:t>
      </w:r>
      <w:r>
        <w:rPr>
          <w:rFonts w:hint="eastAsia"/>
          <w:lang w:eastAsia="zh-CN"/>
        </w:rPr>
        <w:t>（以下简称年度征集期）</w:t>
      </w:r>
      <w:r>
        <w:rPr>
          <w:rFonts w:hint="eastAsia"/>
          <w:color w:val="000000" w:themeColor="text1"/>
          <w14:textFill>
            <w14:solidFill>
              <w14:schemeClr w14:val="tx1"/>
            </w14:solidFill>
          </w14:textFill>
        </w:rPr>
        <w:t>：评审委员会工作小组每年开启为期7天的</w:t>
      </w:r>
      <w:r>
        <w:rPr>
          <w:rFonts w:hint="eastAsia"/>
          <w:color w:val="000000" w:themeColor="text1"/>
          <w:lang w:eastAsia="zh-CN"/>
          <w14:textFill>
            <w14:solidFill>
              <w14:schemeClr w14:val="tx1"/>
            </w14:solidFill>
          </w14:textFill>
        </w:rPr>
        <w:t>年度征集期</w:t>
      </w:r>
      <w:r>
        <w:rPr>
          <w:rFonts w:hint="eastAsia"/>
          <w:color w:val="000000" w:themeColor="text1"/>
          <w14:textFill>
            <w14:solidFill>
              <w14:schemeClr w14:val="tx1"/>
            </w14:solidFill>
          </w14:textFill>
        </w:rPr>
        <w:t>。</w:t>
      </w:r>
    </w:p>
    <w:p w14:paraId="06D7914C">
      <w:pPr>
        <w:ind w:left="480" w:leftChars="200" w:firstLine="480"/>
        <w:jc w:val="left"/>
      </w:pPr>
      <w:r>
        <w:rPr>
          <w:rFonts w:hint="eastAsia"/>
        </w:rPr>
        <w:t>2、个人申请：由研究生本人向评审委员会提出申请。个人须在规定时间内，如实填写相关表格和提供相关证明材料，向评审委员会提出申请。</w:t>
      </w:r>
    </w:p>
    <w:p w14:paraId="1C6DE6E7">
      <w:pPr>
        <w:ind w:left="480" w:leftChars="200" w:firstLine="480"/>
        <w:jc w:val="left"/>
      </w:pPr>
      <w:r>
        <w:rPr>
          <w:rFonts w:hint="eastAsia"/>
        </w:rPr>
        <w:t>3、评审材料审查：对参评对象的提交材料的真实性进行审查。</w:t>
      </w:r>
    </w:p>
    <w:p w14:paraId="6794B8F3">
      <w:pPr>
        <w:ind w:left="480" w:leftChars="200" w:firstLine="480"/>
        <w:jc w:val="left"/>
      </w:pPr>
      <w:r>
        <w:rPr>
          <w:rFonts w:hint="eastAsia"/>
        </w:rPr>
        <w:t>4、正式评审：学院评审委员会秉承公平、公开和公正的办事原则和实事求是的评审态度，遵照本办法对所有参评者的材料及得分予以审核确认。</w:t>
      </w:r>
    </w:p>
    <w:p w14:paraId="129B2CB6">
      <w:pPr>
        <w:ind w:left="480" w:leftChars="200" w:firstLine="480"/>
        <w:jc w:val="left"/>
      </w:pPr>
      <w:r>
        <w:rPr>
          <w:rFonts w:hint="eastAsia"/>
        </w:rPr>
        <w:t>5、初评公示：将评审材料在一定范围内进行公示。</w:t>
      </w:r>
    </w:p>
    <w:p w14:paraId="1C9AF3D7">
      <w:pPr>
        <w:ind w:left="480" w:leftChars="200" w:firstLine="480"/>
        <w:jc w:val="left"/>
      </w:pPr>
      <w:r>
        <w:rPr>
          <w:rFonts w:hint="eastAsia"/>
        </w:rPr>
        <w:t>6、申诉处理：若研究生对科研业绩的评审结果有异议，可在公示阶段向我院评审委员会提出申诉，如仍有异议可向学校评审领导小组提出申请裁决</w:t>
      </w:r>
      <w:r>
        <w:rPr>
          <w:rFonts w:hint="eastAsia"/>
          <w:color w:val="auto"/>
          <w:highlight w:val="none"/>
          <w:u w:val="none"/>
        </w:rPr>
        <w:t>。个人应当在异议材料上签署本人真实姓名，注明联系方式。反映情况和问题，应实事求是，不得借机诽谤和诬告。逾期或匿名异议不予受理。</w:t>
      </w:r>
    </w:p>
    <w:p w14:paraId="4912843A">
      <w:pPr>
        <w:pStyle w:val="11"/>
        <w:ind w:left="960" w:hanging="960"/>
        <w:rPr>
          <w:rFonts w:hint="default"/>
        </w:rPr>
      </w:pPr>
      <w:r>
        <w:t>科研业绩证明材料的形成时间</w:t>
      </w:r>
    </w:p>
    <w:p w14:paraId="2930C26F">
      <w:pPr>
        <w:ind w:left="720" w:leftChars="300" w:firstLine="0" w:firstLineChars="0"/>
      </w:pPr>
      <w:r>
        <w:t>除特殊规定外，所有证明材料的形成时间，须在上一年9月1日到评选年8月31日之间。</w:t>
      </w:r>
    </w:p>
    <w:p w14:paraId="4FA79E11">
      <w:pPr>
        <w:ind w:left="720" w:leftChars="300" w:firstLine="0" w:firstLineChars="0"/>
      </w:pPr>
    </w:p>
    <w:p w14:paraId="7BB1F4A5">
      <w:pPr>
        <w:ind w:firstLine="482"/>
        <w:jc w:val="center"/>
        <w:outlineLvl w:val="0"/>
        <w:rPr>
          <w:b/>
          <w:bCs/>
        </w:rPr>
      </w:pPr>
      <w:r>
        <w:rPr>
          <w:rFonts w:hint="eastAsia"/>
          <w:b/>
          <w:bCs/>
        </w:rPr>
        <w:t>第二章  论文发表加分级别的确定方法</w:t>
      </w:r>
    </w:p>
    <w:p w14:paraId="04DA3D79">
      <w:pPr>
        <w:pStyle w:val="11"/>
        <w:ind w:left="960" w:hanging="960"/>
      </w:pPr>
      <w:r>
        <w:t>论文发表在期刊，依据期刊类型等级进行加分。期刊一共分为A、B、C三大类型，每一类型下细分为若干等级，每一等级分别赋予不同的原始加分。C类型的</w:t>
      </w:r>
      <w:r>
        <w:rPr>
          <w:rFonts w:hint="eastAsia"/>
          <w:lang w:eastAsia="zh-CN"/>
        </w:rPr>
        <w:t>论文发表</w:t>
      </w:r>
      <w:r>
        <w:t>加分</w:t>
      </w:r>
      <w:r>
        <w:rPr>
          <w:rFonts w:hint="eastAsia"/>
          <w:lang w:eastAsia="zh-CN"/>
        </w:rPr>
        <w:t>与省级论文竞赛获奖</w:t>
      </w:r>
      <w:r>
        <w:t>，仅限一篇文章纳入加分范畴。具体情况参见表1。</w:t>
      </w:r>
    </w:p>
    <w:p w14:paraId="45D11689">
      <w:pPr>
        <w:ind w:firstLine="480"/>
        <w:jc w:val="center"/>
      </w:pPr>
      <w:r>
        <w:rPr>
          <w:rFonts w:hint="eastAsia"/>
        </w:rPr>
        <w:t>表1 期刊的级别分类及其赋分</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5"/>
        <w:gridCol w:w="3200"/>
        <w:gridCol w:w="820"/>
        <w:gridCol w:w="2920"/>
      </w:tblGrid>
      <w:tr w14:paraId="7E2A4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15" w:type="dxa"/>
            <w:vAlign w:val="center"/>
          </w:tcPr>
          <w:p w14:paraId="66C0837F">
            <w:pPr>
              <w:widowControl/>
              <w:spacing w:before="156" w:beforeLines="50" w:line="240" w:lineRule="auto"/>
              <w:ind w:firstLine="0" w:firstLineChars="0"/>
              <w:jc w:val="center"/>
              <w:rPr>
                <w:rFonts w:ascii="宋体" w:hAnsi="宋体" w:cs="宋体"/>
                <w:b/>
                <w:bCs/>
                <w:kern w:val="0"/>
              </w:rPr>
            </w:pPr>
            <w:r>
              <w:rPr>
                <w:rFonts w:hint="eastAsia" w:ascii="宋体" w:hAnsi="宋体" w:cs="宋体"/>
                <w:b/>
                <w:bCs/>
                <w:kern w:val="0"/>
              </w:rPr>
              <w:t>类型</w:t>
            </w:r>
          </w:p>
        </w:tc>
        <w:tc>
          <w:tcPr>
            <w:tcW w:w="3200" w:type="dxa"/>
            <w:vAlign w:val="center"/>
          </w:tcPr>
          <w:p w14:paraId="277EB44E">
            <w:pPr>
              <w:widowControl/>
              <w:spacing w:before="156" w:beforeLines="50" w:line="240" w:lineRule="auto"/>
              <w:ind w:firstLine="0" w:firstLineChars="0"/>
              <w:jc w:val="center"/>
              <w:rPr>
                <w:rFonts w:ascii="宋体" w:hAnsi="宋体" w:cs="宋体"/>
                <w:b/>
                <w:bCs/>
                <w:kern w:val="0"/>
              </w:rPr>
            </w:pPr>
            <w:r>
              <w:rPr>
                <w:rFonts w:hint="eastAsia" w:ascii="宋体" w:hAnsi="宋体" w:cs="宋体"/>
                <w:b/>
                <w:bCs/>
                <w:kern w:val="0"/>
              </w:rPr>
              <w:t>加分级别</w:t>
            </w:r>
          </w:p>
        </w:tc>
        <w:tc>
          <w:tcPr>
            <w:tcW w:w="820" w:type="dxa"/>
            <w:vAlign w:val="center"/>
          </w:tcPr>
          <w:p w14:paraId="4D3BF446">
            <w:pPr>
              <w:widowControl/>
              <w:spacing w:line="240" w:lineRule="auto"/>
              <w:ind w:firstLine="0" w:firstLineChars="0"/>
              <w:jc w:val="center"/>
              <w:rPr>
                <w:rFonts w:ascii="宋体" w:hAnsi="宋体" w:cs="宋体"/>
                <w:b/>
                <w:bCs/>
                <w:kern w:val="0"/>
              </w:rPr>
            </w:pPr>
            <w:r>
              <w:rPr>
                <w:rFonts w:hint="eastAsia" w:ascii="宋体" w:hAnsi="宋体" w:cs="宋体"/>
                <w:b/>
                <w:bCs/>
                <w:kern w:val="0"/>
              </w:rPr>
              <w:t>原始</w:t>
            </w:r>
          </w:p>
          <w:p w14:paraId="125522BE">
            <w:pPr>
              <w:widowControl/>
              <w:spacing w:line="240" w:lineRule="auto"/>
              <w:ind w:firstLine="0" w:firstLineChars="0"/>
              <w:jc w:val="center"/>
              <w:rPr>
                <w:rFonts w:ascii="宋体" w:hAnsi="宋体" w:cs="宋体"/>
                <w:b/>
                <w:bCs/>
                <w:kern w:val="0"/>
              </w:rPr>
            </w:pPr>
            <w:r>
              <w:rPr>
                <w:rFonts w:hint="eastAsia" w:ascii="宋体" w:hAnsi="宋体" w:cs="宋体"/>
                <w:b/>
                <w:bCs/>
                <w:kern w:val="0"/>
              </w:rPr>
              <w:t>赋分</w:t>
            </w:r>
          </w:p>
        </w:tc>
        <w:tc>
          <w:tcPr>
            <w:tcW w:w="2920" w:type="dxa"/>
            <w:noWrap/>
            <w:vAlign w:val="center"/>
          </w:tcPr>
          <w:p w14:paraId="67013B61">
            <w:pPr>
              <w:widowControl/>
              <w:spacing w:before="156" w:beforeLines="50" w:line="240" w:lineRule="auto"/>
              <w:ind w:firstLine="0" w:firstLineChars="0"/>
              <w:jc w:val="center"/>
              <w:rPr>
                <w:rFonts w:ascii="宋体" w:hAnsi="宋体" w:cs="宋体"/>
                <w:b/>
                <w:kern w:val="0"/>
              </w:rPr>
            </w:pPr>
            <w:r>
              <w:rPr>
                <w:rFonts w:hint="eastAsia" w:ascii="宋体" w:hAnsi="宋体" w:cs="宋体"/>
                <w:b/>
                <w:kern w:val="0"/>
              </w:rPr>
              <w:t>备注</w:t>
            </w:r>
          </w:p>
        </w:tc>
      </w:tr>
      <w:tr w14:paraId="3EB40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5" w:type="dxa"/>
            <w:vMerge w:val="restart"/>
            <w:vAlign w:val="center"/>
          </w:tcPr>
          <w:p w14:paraId="56785BF3">
            <w:pPr>
              <w:widowControl/>
              <w:spacing w:before="156" w:beforeLines="50" w:line="240" w:lineRule="auto"/>
              <w:ind w:firstLine="0" w:firstLineChars="0"/>
              <w:jc w:val="center"/>
              <w:rPr>
                <w:rFonts w:ascii="宋体" w:hAnsi="宋体" w:cs="宋体"/>
                <w:kern w:val="0"/>
              </w:rPr>
            </w:pPr>
            <w:r>
              <w:rPr>
                <w:rFonts w:hint="eastAsia" w:ascii="宋体" w:hAnsi="宋体" w:cs="宋体"/>
                <w:kern w:val="0"/>
              </w:rPr>
              <w:t>A</w:t>
            </w:r>
          </w:p>
        </w:tc>
        <w:tc>
          <w:tcPr>
            <w:tcW w:w="3200" w:type="dxa"/>
            <w:vAlign w:val="center"/>
          </w:tcPr>
          <w:p w14:paraId="2B4E2EEC">
            <w:pPr>
              <w:widowControl/>
              <w:spacing w:before="156" w:beforeLines="50" w:line="240" w:lineRule="auto"/>
              <w:ind w:firstLine="0" w:firstLineChars="0"/>
              <w:jc w:val="left"/>
              <w:rPr>
                <w:rFonts w:ascii="宋体" w:hAnsi="宋体" w:cs="宋体"/>
                <w:kern w:val="0"/>
              </w:rPr>
            </w:pPr>
            <w:r>
              <w:rPr>
                <w:rFonts w:hint="eastAsia" w:ascii="宋体" w:hAnsi="宋体" w:cs="宋体"/>
                <w:kern w:val="0"/>
              </w:rPr>
              <w:t>A1:SCI、SSCI、A&amp;HC一区</w:t>
            </w:r>
          </w:p>
        </w:tc>
        <w:tc>
          <w:tcPr>
            <w:tcW w:w="820" w:type="dxa"/>
            <w:vAlign w:val="center"/>
          </w:tcPr>
          <w:p w14:paraId="48BB45C7">
            <w:pPr>
              <w:widowControl/>
              <w:spacing w:before="156" w:beforeLines="50" w:line="240" w:lineRule="auto"/>
              <w:ind w:firstLine="0" w:firstLineChars="0"/>
              <w:jc w:val="center"/>
              <w:rPr>
                <w:rFonts w:ascii="宋体" w:hAnsi="宋体" w:cs="宋体"/>
                <w:kern w:val="0"/>
              </w:rPr>
            </w:pPr>
            <w:r>
              <w:rPr>
                <w:rFonts w:hint="eastAsia" w:ascii="宋体" w:hAnsi="宋体" w:cs="宋体"/>
                <w:kern w:val="0"/>
              </w:rPr>
              <w:t>30</w:t>
            </w:r>
          </w:p>
        </w:tc>
        <w:tc>
          <w:tcPr>
            <w:tcW w:w="2920" w:type="dxa"/>
            <w:vMerge w:val="restart"/>
            <w:noWrap/>
            <w:vAlign w:val="center"/>
          </w:tcPr>
          <w:p w14:paraId="6491408F">
            <w:pPr>
              <w:widowControl/>
              <w:spacing w:before="156" w:beforeLines="50" w:line="240" w:lineRule="auto"/>
              <w:ind w:firstLine="0" w:firstLineChars="0"/>
              <w:jc w:val="left"/>
              <w:rPr>
                <w:rFonts w:ascii="宋体" w:hAnsi="宋体" w:cs="宋体"/>
                <w:kern w:val="0"/>
              </w:rPr>
            </w:pPr>
            <w:r>
              <w:rPr>
                <w:rFonts w:hint="eastAsia" w:ascii="宋体" w:hAnsi="宋体" w:cs="宋体"/>
                <w:kern w:val="0"/>
              </w:rPr>
              <w:t>SCI/SSCI/A&amp;HCI检索源期刊论文。无论文篇数限制。</w:t>
            </w:r>
          </w:p>
        </w:tc>
      </w:tr>
      <w:tr w14:paraId="36231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5" w:type="dxa"/>
            <w:vMerge w:val="continue"/>
            <w:vAlign w:val="center"/>
          </w:tcPr>
          <w:p w14:paraId="70D5FDAD">
            <w:pPr>
              <w:widowControl/>
              <w:spacing w:before="156" w:beforeLines="50" w:line="240" w:lineRule="auto"/>
              <w:ind w:firstLine="0" w:firstLineChars="0"/>
              <w:jc w:val="center"/>
              <w:rPr>
                <w:rFonts w:ascii="宋体" w:hAnsi="宋体" w:cs="宋体"/>
                <w:kern w:val="0"/>
              </w:rPr>
            </w:pPr>
          </w:p>
        </w:tc>
        <w:tc>
          <w:tcPr>
            <w:tcW w:w="3200" w:type="dxa"/>
            <w:vAlign w:val="center"/>
          </w:tcPr>
          <w:p w14:paraId="62DBFA66">
            <w:pPr>
              <w:widowControl/>
              <w:spacing w:before="156" w:beforeLines="50" w:line="240" w:lineRule="auto"/>
              <w:ind w:firstLine="0" w:firstLineChars="0"/>
              <w:jc w:val="left"/>
              <w:rPr>
                <w:rFonts w:ascii="宋体" w:hAnsi="宋体" w:cs="宋体"/>
                <w:kern w:val="0"/>
              </w:rPr>
            </w:pPr>
            <w:r>
              <w:rPr>
                <w:rFonts w:hint="eastAsia" w:ascii="宋体" w:hAnsi="宋体" w:cs="宋体"/>
                <w:kern w:val="0"/>
              </w:rPr>
              <w:t>A2:SCI、SSCI、A&amp;HC二区</w:t>
            </w:r>
          </w:p>
        </w:tc>
        <w:tc>
          <w:tcPr>
            <w:tcW w:w="820" w:type="dxa"/>
            <w:vAlign w:val="center"/>
          </w:tcPr>
          <w:p w14:paraId="4CA58DFE">
            <w:pPr>
              <w:spacing w:before="156" w:beforeLines="50" w:line="240" w:lineRule="auto"/>
              <w:ind w:firstLine="0" w:firstLineChars="0"/>
              <w:jc w:val="center"/>
              <w:rPr>
                <w:rFonts w:ascii="宋体" w:hAnsi="宋体" w:cs="宋体"/>
                <w:kern w:val="0"/>
              </w:rPr>
            </w:pPr>
            <w:r>
              <w:rPr>
                <w:rFonts w:hint="eastAsia" w:ascii="宋体" w:hAnsi="宋体" w:cs="宋体"/>
                <w:kern w:val="0"/>
              </w:rPr>
              <w:t>20</w:t>
            </w:r>
          </w:p>
        </w:tc>
        <w:tc>
          <w:tcPr>
            <w:tcW w:w="2920" w:type="dxa"/>
            <w:vMerge w:val="continue"/>
            <w:noWrap/>
            <w:vAlign w:val="center"/>
          </w:tcPr>
          <w:p w14:paraId="7E870944">
            <w:pPr>
              <w:widowControl/>
              <w:spacing w:before="156" w:beforeLines="50" w:line="240" w:lineRule="auto"/>
              <w:ind w:firstLine="0" w:firstLineChars="0"/>
              <w:jc w:val="left"/>
              <w:rPr>
                <w:rFonts w:ascii="宋体" w:hAnsi="宋体" w:cs="宋体"/>
                <w:kern w:val="0"/>
              </w:rPr>
            </w:pPr>
          </w:p>
        </w:tc>
      </w:tr>
      <w:tr w14:paraId="7D82F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5" w:type="dxa"/>
            <w:vMerge w:val="continue"/>
            <w:vAlign w:val="center"/>
          </w:tcPr>
          <w:p w14:paraId="566174C8">
            <w:pPr>
              <w:widowControl/>
              <w:spacing w:before="156" w:beforeLines="50" w:line="240" w:lineRule="auto"/>
              <w:ind w:firstLine="0" w:firstLineChars="0"/>
              <w:jc w:val="center"/>
              <w:rPr>
                <w:rFonts w:ascii="宋体" w:hAnsi="宋体" w:cs="宋体"/>
                <w:kern w:val="0"/>
              </w:rPr>
            </w:pPr>
          </w:p>
        </w:tc>
        <w:tc>
          <w:tcPr>
            <w:tcW w:w="3200" w:type="dxa"/>
            <w:vAlign w:val="center"/>
          </w:tcPr>
          <w:p w14:paraId="238C9370">
            <w:pPr>
              <w:widowControl/>
              <w:spacing w:before="156" w:beforeLines="50" w:line="240" w:lineRule="auto"/>
              <w:ind w:firstLine="0" w:firstLineChars="0"/>
              <w:jc w:val="left"/>
              <w:rPr>
                <w:rFonts w:ascii="宋体" w:hAnsi="宋体" w:cs="宋体"/>
                <w:kern w:val="0"/>
              </w:rPr>
            </w:pPr>
            <w:r>
              <w:rPr>
                <w:rFonts w:hint="eastAsia" w:ascii="宋体" w:hAnsi="宋体" w:cs="宋体"/>
                <w:kern w:val="0"/>
              </w:rPr>
              <w:t>A3:SCI、SSCI、A&amp;HC三区</w:t>
            </w:r>
          </w:p>
        </w:tc>
        <w:tc>
          <w:tcPr>
            <w:tcW w:w="820" w:type="dxa"/>
            <w:vAlign w:val="center"/>
          </w:tcPr>
          <w:p w14:paraId="0DAA6748">
            <w:pPr>
              <w:spacing w:before="156" w:beforeLines="50" w:line="240" w:lineRule="auto"/>
              <w:ind w:firstLine="0" w:firstLineChars="0"/>
              <w:jc w:val="center"/>
              <w:rPr>
                <w:rFonts w:ascii="宋体" w:hAnsi="宋体" w:cs="宋体"/>
                <w:kern w:val="0"/>
              </w:rPr>
            </w:pPr>
            <w:r>
              <w:rPr>
                <w:rFonts w:hint="eastAsia" w:ascii="宋体" w:hAnsi="宋体" w:cs="宋体"/>
                <w:kern w:val="0"/>
              </w:rPr>
              <w:t>15</w:t>
            </w:r>
          </w:p>
        </w:tc>
        <w:tc>
          <w:tcPr>
            <w:tcW w:w="2920" w:type="dxa"/>
            <w:vMerge w:val="continue"/>
            <w:noWrap/>
            <w:vAlign w:val="center"/>
          </w:tcPr>
          <w:p w14:paraId="5E57DC86">
            <w:pPr>
              <w:widowControl/>
              <w:spacing w:before="156" w:beforeLines="50" w:line="240" w:lineRule="auto"/>
              <w:ind w:firstLine="0" w:firstLineChars="0"/>
              <w:jc w:val="left"/>
              <w:rPr>
                <w:rFonts w:ascii="宋体" w:hAnsi="宋体" w:cs="宋体"/>
                <w:kern w:val="0"/>
              </w:rPr>
            </w:pPr>
          </w:p>
        </w:tc>
      </w:tr>
      <w:tr w14:paraId="1CEF3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5" w:type="dxa"/>
            <w:vMerge w:val="continue"/>
            <w:vAlign w:val="center"/>
          </w:tcPr>
          <w:p w14:paraId="2D9353F6">
            <w:pPr>
              <w:widowControl/>
              <w:spacing w:before="156" w:beforeLines="50" w:line="240" w:lineRule="auto"/>
              <w:ind w:firstLine="0" w:firstLineChars="0"/>
              <w:jc w:val="center"/>
              <w:rPr>
                <w:rFonts w:ascii="宋体" w:hAnsi="宋体" w:cs="宋体"/>
                <w:kern w:val="0"/>
              </w:rPr>
            </w:pPr>
          </w:p>
        </w:tc>
        <w:tc>
          <w:tcPr>
            <w:tcW w:w="3200" w:type="dxa"/>
            <w:vAlign w:val="center"/>
          </w:tcPr>
          <w:p w14:paraId="51E38DBE">
            <w:pPr>
              <w:widowControl/>
              <w:spacing w:before="156" w:beforeLines="50" w:line="240" w:lineRule="auto"/>
              <w:ind w:firstLine="0" w:firstLineChars="0"/>
              <w:jc w:val="left"/>
              <w:rPr>
                <w:rFonts w:ascii="宋体" w:hAnsi="宋体" w:cs="宋体"/>
                <w:kern w:val="0"/>
              </w:rPr>
            </w:pPr>
            <w:r>
              <w:rPr>
                <w:rFonts w:hint="eastAsia" w:ascii="宋体" w:hAnsi="宋体" w:cs="宋体"/>
                <w:kern w:val="0"/>
              </w:rPr>
              <w:t>A4:SCI、SSCI、A&amp;HC四区</w:t>
            </w:r>
          </w:p>
        </w:tc>
        <w:tc>
          <w:tcPr>
            <w:tcW w:w="820" w:type="dxa"/>
            <w:vAlign w:val="center"/>
          </w:tcPr>
          <w:p w14:paraId="630F50C4">
            <w:pPr>
              <w:spacing w:before="156" w:beforeLines="50" w:line="240" w:lineRule="auto"/>
              <w:ind w:firstLine="0" w:firstLineChars="0"/>
              <w:jc w:val="center"/>
              <w:rPr>
                <w:rFonts w:ascii="宋体" w:hAnsi="宋体" w:cs="宋体"/>
                <w:kern w:val="0"/>
              </w:rPr>
            </w:pPr>
            <w:r>
              <w:rPr>
                <w:rFonts w:hint="eastAsia" w:ascii="宋体" w:hAnsi="宋体" w:cs="宋体"/>
                <w:kern w:val="0"/>
              </w:rPr>
              <w:t>10</w:t>
            </w:r>
          </w:p>
        </w:tc>
        <w:tc>
          <w:tcPr>
            <w:tcW w:w="2920" w:type="dxa"/>
            <w:vMerge w:val="continue"/>
            <w:noWrap/>
            <w:vAlign w:val="center"/>
          </w:tcPr>
          <w:p w14:paraId="4FDEB6FC">
            <w:pPr>
              <w:widowControl/>
              <w:spacing w:before="156" w:beforeLines="50" w:line="240" w:lineRule="auto"/>
              <w:ind w:firstLine="0" w:firstLineChars="0"/>
              <w:jc w:val="left"/>
              <w:rPr>
                <w:rFonts w:ascii="宋体" w:hAnsi="宋体" w:cs="宋体"/>
                <w:kern w:val="0"/>
              </w:rPr>
            </w:pPr>
          </w:p>
        </w:tc>
      </w:tr>
      <w:tr w14:paraId="112CF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5" w:type="dxa"/>
            <w:vMerge w:val="restart"/>
            <w:vAlign w:val="center"/>
          </w:tcPr>
          <w:p w14:paraId="32EDA071">
            <w:pPr>
              <w:widowControl/>
              <w:spacing w:before="156" w:beforeLines="50" w:line="240" w:lineRule="auto"/>
              <w:ind w:firstLine="0" w:firstLineChars="0"/>
              <w:jc w:val="center"/>
              <w:rPr>
                <w:rFonts w:ascii="宋体" w:hAnsi="宋体" w:cs="宋体"/>
                <w:kern w:val="0"/>
              </w:rPr>
            </w:pPr>
            <w:r>
              <w:rPr>
                <w:rFonts w:hint="eastAsia" w:ascii="宋体" w:hAnsi="宋体" w:cs="宋体"/>
                <w:kern w:val="0"/>
              </w:rPr>
              <w:t>B</w:t>
            </w:r>
          </w:p>
        </w:tc>
        <w:tc>
          <w:tcPr>
            <w:tcW w:w="3200" w:type="dxa"/>
            <w:vAlign w:val="center"/>
          </w:tcPr>
          <w:p w14:paraId="3645EDC6">
            <w:pPr>
              <w:widowControl/>
              <w:spacing w:before="156" w:beforeLines="50" w:line="240" w:lineRule="auto"/>
              <w:ind w:firstLine="0" w:firstLineChars="0"/>
              <w:jc w:val="left"/>
              <w:rPr>
                <w:rFonts w:ascii="宋体" w:hAnsi="宋体" w:cs="宋体"/>
                <w:kern w:val="0"/>
              </w:rPr>
            </w:pPr>
            <w:r>
              <w:rPr>
                <w:rFonts w:hint="eastAsia" w:ascii="宋体" w:hAnsi="宋体" w:cs="宋体"/>
                <w:kern w:val="0"/>
              </w:rPr>
              <w:t>B1:学科重要权威期刊</w:t>
            </w:r>
          </w:p>
        </w:tc>
        <w:tc>
          <w:tcPr>
            <w:tcW w:w="820" w:type="dxa"/>
            <w:vAlign w:val="center"/>
          </w:tcPr>
          <w:p w14:paraId="5495D5D9">
            <w:pPr>
              <w:widowControl/>
              <w:spacing w:before="156" w:beforeLines="50" w:line="240" w:lineRule="auto"/>
              <w:ind w:firstLine="0" w:firstLineChars="0"/>
              <w:jc w:val="center"/>
              <w:rPr>
                <w:rFonts w:ascii="宋体" w:hAnsi="宋体" w:cs="宋体"/>
                <w:kern w:val="0"/>
              </w:rPr>
            </w:pPr>
            <w:r>
              <w:rPr>
                <w:rFonts w:hint="eastAsia" w:ascii="宋体" w:hAnsi="宋体" w:cs="宋体"/>
                <w:color w:val="auto"/>
                <w:kern w:val="0"/>
              </w:rPr>
              <w:t>15</w:t>
            </w:r>
          </w:p>
        </w:tc>
        <w:tc>
          <w:tcPr>
            <w:tcW w:w="2920" w:type="dxa"/>
            <w:vMerge w:val="restart"/>
            <w:noWrap/>
            <w:vAlign w:val="center"/>
          </w:tcPr>
          <w:p w14:paraId="210E052D">
            <w:pPr>
              <w:widowControl/>
              <w:spacing w:before="156" w:beforeLines="50" w:line="240" w:lineRule="auto"/>
              <w:ind w:firstLine="0" w:firstLineChars="0"/>
              <w:jc w:val="left"/>
              <w:rPr>
                <w:rFonts w:ascii="宋体" w:hAnsi="宋体" w:cs="宋体"/>
                <w:kern w:val="0"/>
              </w:rPr>
            </w:pPr>
            <w:r>
              <w:rPr>
                <w:rFonts w:ascii="宋体" w:hAnsi="宋体" w:cs="宋体"/>
                <w:kern w:val="0"/>
              </w:rPr>
              <w:t>CSSCI</w:t>
            </w:r>
            <w:r>
              <w:rPr>
                <w:rFonts w:hint="eastAsia" w:ascii="宋体" w:hAnsi="宋体" w:cs="宋体"/>
                <w:kern w:val="0"/>
              </w:rPr>
              <w:t>检索</w:t>
            </w:r>
            <w:r>
              <w:rPr>
                <w:rFonts w:ascii="宋体" w:hAnsi="宋体" w:cs="宋体"/>
                <w:kern w:val="0"/>
              </w:rPr>
              <w:t>源期刊</w:t>
            </w:r>
            <w:r>
              <w:rPr>
                <w:rFonts w:ascii="宋体" w:hAnsi="宋体" w:cs="宋体"/>
                <w:kern w:val="0"/>
                <w:highlight w:val="none"/>
              </w:rPr>
              <w:t>（含扩展版）</w:t>
            </w:r>
            <w:r>
              <w:rPr>
                <w:rFonts w:hint="eastAsia" w:ascii="宋体" w:hAnsi="宋体" w:cs="宋体"/>
                <w:kern w:val="0"/>
              </w:rPr>
              <w:t>、</w:t>
            </w:r>
            <w:r>
              <w:rPr>
                <w:rFonts w:ascii="宋体" w:hAnsi="宋体" w:cs="宋体"/>
                <w:kern w:val="0"/>
              </w:rPr>
              <w:t>CSCD</w:t>
            </w:r>
            <w:r>
              <w:rPr>
                <w:rFonts w:hint="eastAsia" w:ascii="宋体" w:hAnsi="宋体" w:cs="宋体"/>
                <w:kern w:val="0"/>
              </w:rPr>
              <w:t>检索</w:t>
            </w:r>
            <w:r>
              <w:rPr>
                <w:rFonts w:ascii="宋体" w:hAnsi="宋体" w:cs="宋体"/>
                <w:kern w:val="0"/>
              </w:rPr>
              <w:t>源期刊</w:t>
            </w:r>
            <w:r>
              <w:rPr>
                <w:rFonts w:hint="eastAsia" w:ascii="宋体" w:hAnsi="宋体" w:cs="宋体"/>
                <w:kern w:val="0"/>
                <w:highlight w:val="none"/>
              </w:rPr>
              <w:t>（含</w:t>
            </w:r>
            <w:r>
              <w:rPr>
                <w:rFonts w:ascii="宋体" w:hAnsi="宋体" w:cs="宋体"/>
                <w:kern w:val="0"/>
                <w:highlight w:val="none"/>
              </w:rPr>
              <w:t>扩展版</w:t>
            </w:r>
            <w:r>
              <w:rPr>
                <w:rFonts w:hint="eastAsia" w:ascii="宋体" w:hAnsi="宋体" w:cs="宋体"/>
                <w:kern w:val="0"/>
                <w:highlight w:val="none"/>
              </w:rPr>
              <w:t>）</w:t>
            </w:r>
            <w:r>
              <w:rPr>
                <w:rFonts w:hint="eastAsia" w:ascii="宋体" w:hAnsi="宋体" w:cs="宋体"/>
                <w:kern w:val="0"/>
              </w:rPr>
              <w:t>。无论文篇数限制。</w:t>
            </w:r>
          </w:p>
        </w:tc>
      </w:tr>
      <w:tr w14:paraId="42E39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915" w:type="dxa"/>
            <w:vMerge w:val="continue"/>
            <w:vAlign w:val="center"/>
          </w:tcPr>
          <w:p w14:paraId="79542E39">
            <w:pPr>
              <w:widowControl/>
              <w:spacing w:before="156" w:beforeLines="50" w:line="240" w:lineRule="auto"/>
              <w:ind w:firstLine="0" w:firstLineChars="0"/>
              <w:jc w:val="center"/>
              <w:rPr>
                <w:rFonts w:ascii="宋体" w:hAnsi="宋体" w:cs="宋体"/>
                <w:kern w:val="0"/>
              </w:rPr>
            </w:pPr>
          </w:p>
        </w:tc>
        <w:tc>
          <w:tcPr>
            <w:tcW w:w="3200" w:type="dxa"/>
            <w:vAlign w:val="center"/>
          </w:tcPr>
          <w:p w14:paraId="346469FE">
            <w:pPr>
              <w:widowControl/>
              <w:spacing w:before="156" w:beforeLines="50" w:line="240" w:lineRule="auto"/>
              <w:ind w:firstLine="0" w:firstLineChars="0"/>
              <w:jc w:val="left"/>
              <w:rPr>
                <w:rFonts w:ascii="宋体" w:hAnsi="宋体" w:cs="宋体"/>
                <w:kern w:val="0"/>
              </w:rPr>
            </w:pPr>
            <w:r>
              <w:rPr>
                <w:rFonts w:hint="eastAsia" w:ascii="宋体" w:hAnsi="宋体" w:cs="宋体"/>
                <w:kern w:val="0"/>
              </w:rPr>
              <w:t>B2:中文核心期刊、中国科技核心期刊、学院指定学科权威期刊、学科重要期刊</w:t>
            </w:r>
          </w:p>
        </w:tc>
        <w:tc>
          <w:tcPr>
            <w:tcW w:w="820" w:type="dxa"/>
            <w:vAlign w:val="center"/>
          </w:tcPr>
          <w:p w14:paraId="1D052E5B">
            <w:pPr>
              <w:spacing w:before="156" w:beforeLines="50" w:line="240" w:lineRule="auto"/>
              <w:ind w:firstLine="0" w:firstLineChars="0"/>
              <w:jc w:val="center"/>
              <w:rPr>
                <w:rFonts w:ascii="宋体" w:hAnsi="宋体" w:cs="宋体"/>
                <w:kern w:val="0"/>
              </w:rPr>
            </w:pPr>
            <w:r>
              <w:rPr>
                <w:rFonts w:hint="eastAsia" w:ascii="宋体" w:hAnsi="宋体" w:cs="宋体"/>
                <w:kern w:val="0"/>
              </w:rPr>
              <w:t>7</w:t>
            </w:r>
          </w:p>
        </w:tc>
        <w:tc>
          <w:tcPr>
            <w:tcW w:w="2920" w:type="dxa"/>
            <w:vMerge w:val="continue"/>
            <w:noWrap/>
            <w:vAlign w:val="center"/>
          </w:tcPr>
          <w:p w14:paraId="7986E7BB">
            <w:pPr>
              <w:widowControl/>
              <w:spacing w:before="156" w:beforeLines="50" w:line="240" w:lineRule="auto"/>
              <w:ind w:firstLine="0" w:firstLineChars="0"/>
              <w:jc w:val="left"/>
              <w:rPr>
                <w:rFonts w:ascii="宋体" w:hAnsi="宋体" w:cs="宋体"/>
                <w:kern w:val="0"/>
              </w:rPr>
            </w:pPr>
          </w:p>
        </w:tc>
      </w:tr>
      <w:tr w14:paraId="5A29E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5" w:type="dxa"/>
            <w:vMerge w:val="restart"/>
            <w:vAlign w:val="center"/>
          </w:tcPr>
          <w:p w14:paraId="44432EC3">
            <w:pPr>
              <w:widowControl/>
              <w:spacing w:before="156" w:beforeLines="50" w:line="240" w:lineRule="auto"/>
              <w:ind w:firstLine="0" w:firstLineChars="0"/>
              <w:jc w:val="center"/>
              <w:rPr>
                <w:rFonts w:ascii="宋体" w:hAnsi="宋体" w:cs="宋体"/>
                <w:kern w:val="0"/>
              </w:rPr>
            </w:pPr>
            <w:r>
              <w:rPr>
                <w:rFonts w:hint="eastAsia" w:ascii="宋体" w:hAnsi="宋体" w:cs="宋体"/>
                <w:kern w:val="0"/>
              </w:rPr>
              <w:t>C</w:t>
            </w:r>
          </w:p>
        </w:tc>
        <w:tc>
          <w:tcPr>
            <w:tcW w:w="3200" w:type="dxa"/>
            <w:vAlign w:val="center"/>
          </w:tcPr>
          <w:p w14:paraId="221B24FF">
            <w:pPr>
              <w:widowControl/>
              <w:spacing w:before="156" w:beforeLines="50" w:line="240" w:lineRule="auto"/>
              <w:ind w:firstLine="0" w:firstLineChars="0"/>
              <w:jc w:val="left"/>
              <w:rPr>
                <w:rFonts w:ascii="宋体" w:hAnsi="宋体" w:cs="宋体"/>
                <w:kern w:val="0"/>
              </w:rPr>
            </w:pPr>
            <w:r>
              <w:rPr>
                <w:rFonts w:hint="eastAsia" w:ascii="宋体" w:hAnsi="宋体" w:cs="宋体"/>
                <w:kern w:val="0"/>
              </w:rPr>
              <w:t>C1:知名期刊</w:t>
            </w:r>
          </w:p>
        </w:tc>
        <w:tc>
          <w:tcPr>
            <w:tcW w:w="820" w:type="dxa"/>
            <w:vAlign w:val="center"/>
          </w:tcPr>
          <w:p w14:paraId="3983C22F">
            <w:pPr>
              <w:widowControl/>
              <w:spacing w:before="156" w:beforeLines="50" w:line="240" w:lineRule="auto"/>
              <w:ind w:firstLine="0" w:firstLineChars="0"/>
              <w:jc w:val="center"/>
              <w:rPr>
                <w:rFonts w:ascii="宋体" w:hAnsi="宋体" w:cs="宋体"/>
                <w:kern w:val="0"/>
              </w:rPr>
            </w:pPr>
            <w:r>
              <w:rPr>
                <w:rFonts w:hint="eastAsia" w:ascii="宋体" w:hAnsi="宋体" w:cs="宋体"/>
                <w:kern w:val="0"/>
              </w:rPr>
              <w:t>5</w:t>
            </w:r>
          </w:p>
        </w:tc>
        <w:tc>
          <w:tcPr>
            <w:tcW w:w="2920" w:type="dxa"/>
            <w:vMerge w:val="restart"/>
            <w:noWrap/>
            <w:vAlign w:val="center"/>
          </w:tcPr>
          <w:p w14:paraId="5EE597B8">
            <w:pPr>
              <w:widowControl/>
              <w:spacing w:before="156" w:beforeLines="50" w:line="240" w:lineRule="auto"/>
              <w:ind w:firstLine="0" w:firstLineChars="0"/>
              <w:jc w:val="left"/>
              <w:rPr>
                <w:rFonts w:ascii="宋体" w:hAnsi="宋体" w:cs="宋体"/>
                <w:kern w:val="0"/>
              </w:rPr>
            </w:pPr>
            <w:r>
              <w:rPr>
                <w:rFonts w:hint="eastAsia" w:ascii="宋体" w:hAnsi="宋体" w:cs="宋体"/>
                <w:color w:val="auto"/>
                <w:kern w:val="0"/>
                <w:lang w:eastAsia="zh-CN"/>
              </w:rPr>
              <w:t>其他</w:t>
            </w:r>
            <w:r>
              <w:rPr>
                <w:rFonts w:hint="eastAsia" w:ascii="宋体" w:hAnsi="宋体" w:cs="宋体"/>
                <w:color w:val="auto"/>
                <w:kern w:val="0"/>
              </w:rPr>
              <w:t>期刊学术论文。</w:t>
            </w:r>
            <w:r>
              <w:rPr>
                <w:rFonts w:hint="eastAsia"/>
                <w:color w:val="auto"/>
              </w:rPr>
              <w:t>论文发表和论文竞赛</w:t>
            </w:r>
            <w:r>
              <w:rPr>
                <w:rFonts w:hint="eastAsia" w:ascii="宋体" w:hAnsi="宋体" w:cs="宋体"/>
                <w:color w:val="auto"/>
                <w:kern w:val="0"/>
              </w:rPr>
              <w:t>仅限1篇。</w:t>
            </w:r>
          </w:p>
        </w:tc>
      </w:tr>
      <w:tr w14:paraId="7DD02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5" w:type="dxa"/>
            <w:vMerge w:val="continue"/>
            <w:vAlign w:val="center"/>
          </w:tcPr>
          <w:p w14:paraId="18D47A61">
            <w:pPr>
              <w:widowControl/>
              <w:spacing w:before="156" w:beforeLines="50" w:line="240" w:lineRule="auto"/>
              <w:ind w:firstLine="0" w:firstLineChars="0"/>
              <w:jc w:val="center"/>
              <w:rPr>
                <w:rFonts w:ascii="宋体" w:hAnsi="宋体" w:cs="宋体"/>
                <w:kern w:val="0"/>
              </w:rPr>
            </w:pPr>
          </w:p>
        </w:tc>
        <w:tc>
          <w:tcPr>
            <w:tcW w:w="3200" w:type="dxa"/>
            <w:vAlign w:val="center"/>
          </w:tcPr>
          <w:p w14:paraId="39875F62">
            <w:pPr>
              <w:widowControl/>
              <w:spacing w:before="156" w:beforeLines="50" w:line="240" w:lineRule="auto"/>
              <w:ind w:firstLine="0" w:firstLineChars="0"/>
              <w:jc w:val="left"/>
              <w:rPr>
                <w:rFonts w:ascii="宋体" w:hAnsi="宋体" w:cs="宋体"/>
                <w:kern w:val="0"/>
              </w:rPr>
            </w:pPr>
            <w:r>
              <w:rPr>
                <w:rFonts w:hint="eastAsia" w:ascii="宋体" w:hAnsi="宋体" w:cs="宋体"/>
                <w:kern w:val="0"/>
              </w:rPr>
              <w:t>C2:一般正式期刊</w:t>
            </w:r>
          </w:p>
        </w:tc>
        <w:tc>
          <w:tcPr>
            <w:tcW w:w="820" w:type="dxa"/>
            <w:tcBorders/>
            <w:vAlign w:val="center"/>
          </w:tcPr>
          <w:p w14:paraId="1B828E2D">
            <w:pPr>
              <w:spacing w:before="156" w:beforeLines="50" w:line="240" w:lineRule="auto"/>
              <w:ind w:firstLine="0" w:firstLineChars="0"/>
              <w:jc w:val="center"/>
              <w:rPr>
                <w:rFonts w:ascii="宋体" w:hAnsi="宋体" w:cs="宋体"/>
                <w:kern w:val="0"/>
              </w:rPr>
            </w:pPr>
            <w:r>
              <w:rPr>
                <w:rFonts w:hint="eastAsia" w:ascii="宋体" w:hAnsi="宋体" w:cs="宋体"/>
                <w:kern w:val="0"/>
              </w:rPr>
              <w:t>2</w:t>
            </w:r>
          </w:p>
        </w:tc>
        <w:tc>
          <w:tcPr>
            <w:tcW w:w="2920" w:type="dxa"/>
            <w:vMerge w:val="continue"/>
            <w:noWrap/>
            <w:vAlign w:val="center"/>
          </w:tcPr>
          <w:p w14:paraId="62FD9CA7">
            <w:pPr>
              <w:spacing w:before="156" w:beforeLines="50" w:line="240" w:lineRule="auto"/>
              <w:ind w:firstLine="0" w:firstLineChars="0"/>
              <w:jc w:val="center"/>
              <w:rPr>
                <w:rFonts w:ascii="宋体" w:hAnsi="宋体" w:cs="宋体"/>
                <w:kern w:val="0"/>
              </w:rPr>
            </w:pPr>
          </w:p>
        </w:tc>
      </w:tr>
    </w:tbl>
    <w:p w14:paraId="1161A96E">
      <w:pPr>
        <w:ind w:firstLine="480"/>
      </w:pPr>
    </w:p>
    <w:p w14:paraId="2D2EADF8">
      <w:pPr>
        <w:pStyle w:val="11"/>
        <w:bidi w:val="0"/>
        <w:rPr>
          <w:rFonts w:hint="default"/>
        </w:rPr>
      </w:pPr>
      <w:r>
        <w:t>具体刊物所属的加分级别，参见《</w:t>
      </w:r>
      <w:r>
        <w:rPr>
          <w:rFonts w:hint="eastAsia"/>
          <w:lang w:eastAsia="zh-CN"/>
        </w:rPr>
        <w:t>研究生</w:t>
      </w:r>
      <w:r>
        <w:t>纳入</w:t>
      </w:r>
      <w:r>
        <w:rPr>
          <w:rFonts w:hint="eastAsia"/>
          <w:lang w:eastAsia="zh-CN"/>
        </w:rPr>
        <w:t>评优</w:t>
      </w:r>
      <w:r>
        <w:t>加分的中文期刊清单》。论文刊登的期刊在清单内，依据清单确定加分级别。</w:t>
      </w:r>
    </w:p>
    <w:p w14:paraId="740E0F08">
      <w:pPr>
        <w:pStyle w:val="11"/>
        <w:ind w:left="960" w:hanging="960"/>
        <w:rPr>
          <w:rFonts w:hint="default"/>
          <w:color w:val="FF0000"/>
          <w:highlight w:val="none"/>
        </w:rPr>
      </w:pPr>
      <w:r>
        <w:t>论文刊登的中文期刊不在清单内</w:t>
      </w:r>
      <w:r>
        <w:rPr>
          <w:rFonts w:hint="eastAsia"/>
          <w:color w:val="auto"/>
          <w:lang w:eastAsia="zh-CN"/>
        </w:rPr>
        <w:t>的</w:t>
      </w:r>
      <w:r>
        <w:rPr>
          <w:color w:val="auto"/>
        </w:rPr>
        <w:t>，申请人须在</w:t>
      </w:r>
      <w:r>
        <w:rPr>
          <w:rFonts w:hint="eastAsia"/>
          <w:color w:val="auto"/>
          <w:lang w:eastAsia="zh-CN"/>
        </w:rPr>
        <w:t>年度征集期</w:t>
      </w:r>
      <w:r>
        <w:rPr>
          <w:color w:val="auto"/>
        </w:rPr>
        <w:t>，向评审小组上报加分材料，申请认定期刊所属级别。逾期不申请、申请认定不通过的，不纳入加分范畴。</w:t>
      </w:r>
      <w:r>
        <w:rPr>
          <w:bCs/>
          <w:color w:val="auto"/>
          <w:highlight w:val="none"/>
        </w:rPr>
        <w:t>期刊和论文集的级别分类及其赋分由评审委员会裁定。</w:t>
      </w:r>
    </w:p>
    <w:p w14:paraId="578D4B19">
      <w:pPr>
        <w:pStyle w:val="11"/>
        <w:ind w:left="960" w:hanging="960"/>
        <w:rPr>
          <w:rFonts w:hint="default"/>
        </w:rPr>
      </w:pPr>
      <w:r>
        <w:t>申请人须在规定时间内，向评审小组提交论文发表的所有证明材料，证明材料中须显示出版时间、出版刊号、作者排序、期刊检索类型或论文集主办单位等基本信息。</w:t>
      </w:r>
    </w:p>
    <w:p w14:paraId="25E67633">
      <w:pPr>
        <w:pStyle w:val="11"/>
        <w:ind w:left="960" w:hanging="960"/>
        <w:rPr>
          <w:rFonts w:hint="default"/>
        </w:rPr>
      </w:pPr>
      <w:r>
        <w:t>刊登在国内期刊的论文，须在纸质书籍出版后，才能纳入加分范畴。申请人向评审小组提交证明材料复印件时，</w:t>
      </w:r>
      <w:r>
        <w:rPr>
          <w:rFonts w:hint="eastAsia"/>
          <w:lang w:eastAsia="zh-CN"/>
        </w:rPr>
        <w:t>须</w:t>
      </w:r>
      <w:r>
        <w:t>出具纸质书籍原件。</w:t>
      </w:r>
    </w:p>
    <w:p w14:paraId="40EEFCA5">
      <w:pPr>
        <w:pStyle w:val="11"/>
        <w:ind w:left="960" w:hanging="960"/>
        <w:rPr>
          <w:rFonts w:hint="default"/>
        </w:rPr>
      </w:pPr>
      <w:r>
        <w:rPr>
          <w:rFonts w:hint="default"/>
        </w:rPr>
        <w:t>刊登在</w:t>
      </w:r>
      <w:r>
        <w:t>国际</w:t>
      </w:r>
      <w:r>
        <w:rPr>
          <w:rFonts w:hint="default"/>
        </w:rPr>
        <w:t>期刊的论文，纸质书籍</w:t>
      </w:r>
      <w:r>
        <w:t>无法获得时，须提供相关证明材料。SCI/SSCI/A&amp;HCI检索源期刊论文，其见刊时间以Web of Sciences平台显示的出版时间为准，其证明材料须提供学校图书馆官网Web of Sciences平台收录页面的截图打印，截图中包括论文题目、论文作者、论文出版时间、论文收录刊物名称、刊物刊号、刊物分区</w:t>
      </w:r>
      <w:r>
        <w:rPr>
          <w:rFonts w:hint="default"/>
          <w:bCs/>
          <w:highlight w:val="none"/>
        </w:rPr>
        <w:t>(JCR)</w:t>
      </w:r>
      <w:r>
        <w:t>等信息；同一刊物有不同分区时，按最高级别的标准加分。</w:t>
      </w:r>
    </w:p>
    <w:p w14:paraId="31560A8A">
      <w:pPr>
        <w:pStyle w:val="11"/>
        <w:ind w:left="960" w:hanging="960"/>
        <w:rPr>
          <w:rFonts w:hint="default"/>
          <w:highlight w:val="none"/>
        </w:rPr>
      </w:pPr>
      <w:r>
        <w:rPr>
          <w:highlight w:val="none"/>
        </w:rPr>
        <w:t>论文发表在学校</w:t>
      </w:r>
      <w:r>
        <w:rPr>
          <w:bCs/>
          <w:highlight w:val="none"/>
        </w:rPr>
        <w:t>最新</w:t>
      </w:r>
      <w:r>
        <w:rPr>
          <w:highlight w:val="none"/>
        </w:rPr>
        <w:t>规定的预警刊物、黑名单刊物，加分级别在刊物原加分级别基础上，下降2级。</w:t>
      </w:r>
    </w:p>
    <w:p w14:paraId="7C71FA2B">
      <w:pPr>
        <w:ind w:firstLine="0" w:firstLineChars="0"/>
      </w:pPr>
    </w:p>
    <w:p w14:paraId="2693E037">
      <w:pPr>
        <w:ind w:firstLine="482"/>
        <w:jc w:val="center"/>
        <w:outlineLvl w:val="0"/>
      </w:pPr>
      <w:r>
        <w:rPr>
          <w:rFonts w:hint="eastAsia"/>
          <w:b/>
          <w:bCs/>
        </w:rPr>
        <w:t>第三章  论文竞赛获奖的加分级别确定方法</w:t>
      </w:r>
    </w:p>
    <w:p w14:paraId="6D4F1442">
      <w:pPr>
        <w:pStyle w:val="11"/>
        <w:ind w:left="960" w:hanging="960"/>
      </w:pPr>
      <w:r>
        <w:t>论文竞赛获奖的加分级别</w:t>
      </w:r>
      <w:r>
        <w:rPr>
          <w:rFonts w:hint="eastAsia"/>
          <w:lang w:eastAsia="zh-CN"/>
        </w:rPr>
        <w:t>划分为国家级、省级两类</w:t>
      </w:r>
      <w:r>
        <w:t>。具体</w:t>
      </w:r>
      <w:r>
        <w:rPr>
          <w:rFonts w:hint="eastAsia"/>
          <w:lang w:eastAsia="zh-CN"/>
        </w:rPr>
        <w:t>赋分方法</w:t>
      </w:r>
      <w:r>
        <w:t>参见表2。</w:t>
      </w:r>
    </w:p>
    <w:p w14:paraId="7CA6CDAE">
      <w:pPr>
        <w:ind w:firstLine="482"/>
        <w:jc w:val="center"/>
        <w:rPr>
          <w:b/>
          <w:bCs/>
        </w:rPr>
      </w:pPr>
      <w:r>
        <w:rPr>
          <w:rFonts w:hint="eastAsia"/>
          <w:b/>
          <w:bCs/>
        </w:rPr>
        <w:t>表2论文</w:t>
      </w:r>
      <w:r>
        <w:rPr>
          <w:rFonts w:hint="eastAsia"/>
          <w:b/>
          <w:bCs/>
          <w:lang w:eastAsia="zh-CN"/>
        </w:rPr>
        <w:t>竞赛</w:t>
      </w:r>
      <w:r>
        <w:rPr>
          <w:rFonts w:hint="eastAsia"/>
          <w:b/>
          <w:bCs/>
        </w:rPr>
        <w:t>获奖的分类级别及其赋分</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1"/>
        <w:gridCol w:w="3397"/>
        <w:gridCol w:w="750"/>
        <w:gridCol w:w="1913"/>
      </w:tblGrid>
      <w:tr w14:paraId="1E1F1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1231" w:type="dxa"/>
            <w:vAlign w:val="center"/>
          </w:tcPr>
          <w:p w14:paraId="307F6DB9">
            <w:pPr>
              <w:spacing w:line="240" w:lineRule="auto"/>
              <w:ind w:firstLine="0" w:firstLineChars="0"/>
              <w:jc w:val="center"/>
              <w:rPr>
                <w:b/>
                <w:bCs/>
              </w:rPr>
            </w:pPr>
            <w:r>
              <w:rPr>
                <w:rFonts w:hint="eastAsia"/>
                <w:b/>
                <w:bCs/>
              </w:rPr>
              <w:t>加分级别</w:t>
            </w:r>
          </w:p>
        </w:tc>
        <w:tc>
          <w:tcPr>
            <w:tcW w:w="3397" w:type="dxa"/>
            <w:vAlign w:val="center"/>
          </w:tcPr>
          <w:p w14:paraId="4BC80F5F">
            <w:pPr>
              <w:spacing w:line="240" w:lineRule="auto"/>
              <w:ind w:firstLine="0" w:firstLineChars="0"/>
              <w:jc w:val="center"/>
              <w:rPr>
                <w:b/>
                <w:bCs/>
              </w:rPr>
            </w:pPr>
            <w:r>
              <w:rPr>
                <w:rFonts w:hint="eastAsia"/>
                <w:b/>
                <w:bCs/>
              </w:rPr>
              <w:t>获奖级别</w:t>
            </w:r>
          </w:p>
        </w:tc>
        <w:tc>
          <w:tcPr>
            <w:tcW w:w="750" w:type="dxa"/>
            <w:vAlign w:val="center"/>
          </w:tcPr>
          <w:p w14:paraId="1D85D69E">
            <w:pPr>
              <w:spacing w:line="240" w:lineRule="auto"/>
              <w:ind w:firstLine="0" w:firstLineChars="0"/>
              <w:jc w:val="center"/>
              <w:rPr>
                <w:b/>
                <w:bCs/>
              </w:rPr>
            </w:pPr>
            <w:r>
              <w:rPr>
                <w:rFonts w:hint="eastAsia"/>
                <w:b/>
                <w:bCs/>
              </w:rPr>
              <w:t>赋分</w:t>
            </w:r>
          </w:p>
        </w:tc>
        <w:tc>
          <w:tcPr>
            <w:tcW w:w="1913" w:type="dxa"/>
            <w:vAlign w:val="center"/>
          </w:tcPr>
          <w:p w14:paraId="6F39D232">
            <w:pPr>
              <w:spacing w:line="240" w:lineRule="auto"/>
              <w:ind w:firstLine="0" w:firstLineChars="0"/>
              <w:jc w:val="center"/>
              <w:rPr>
                <w:b/>
                <w:bCs/>
              </w:rPr>
            </w:pPr>
            <w:r>
              <w:rPr>
                <w:rFonts w:hint="eastAsia"/>
                <w:b/>
                <w:bCs/>
              </w:rPr>
              <w:t>备注</w:t>
            </w:r>
          </w:p>
        </w:tc>
      </w:tr>
      <w:tr w14:paraId="470B4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31" w:type="dxa"/>
            <w:vMerge w:val="restart"/>
            <w:vAlign w:val="center"/>
          </w:tcPr>
          <w:p w14:paraId="5DFF918E">
            <w:pPr>
              <w:spacing w:line="240" w:lineRule="auto"/>
              <w:ind w:firstLine="0" w:firstLineChars="0"/>
              <w:jc w:val="center"/>
            </w:pPr>
            <w:r>
              <w:rPr>
                <w:rFonts w:hint="eastAsia"/>
              </w:rPr>
              <w:t>国家级</w:t>
            </w:r>
          </w:p>
        </w:tc>
        <w:tc>
          <w:tcPr>
            <w:tcW w:w="3397" w:type="dxa"/>
          </w:tcPr>
          <w:p w14:paraId="21FB5265">
            <w:pPr>
              <w:spacing w:line="240" w:lineRule="auto"/>
              <w:ind w:firstLine="0" w:firstLineChars="0"/>
              <w:jc w:val="center"/>
            </w:pPr>
            <w:r>
              <w:rPr>
                <w:rFonts w:hint="eastAsia"/>
              </w:rPr>
              <w:t>一等奖、金奖、第一名、冠军</w:t>
            </w:r>
          </w:p>
        </w:tc>
        <w:tc>
          <w:tcPr>
            <w:tcW w:w="750" w:type="dxa"/>
          </w:tcPr>
          <w:p w14:paraId="0F9548AD">
            <w:pPr>
              <w:spacing w:line="240" w:lineRule="auto"/>
              <w:ind w:firstLine="0" w:firstLineChars="0"/>
              <w:jc w:val="center"/>
              <w:rPr>
                <w:rFonts w:hint="default" w:eastAsia="宋体"/>
                <w:lang w:val="en-US" w:eastAsia="zh-CN"/>
              </w:rPr>
            </w:pPr>
            <w:r>
              <w:rPr>
                <w:rFonts w:hint="eastAsia"/>
                <w:lang w:val="en-US" w:eastAsia="zh-CN"/>
              </w:rPr>
              <w:t>10</w:t>
            </w:r>
          </w:p>
        </w:tc>
        <w:tc>
          <w:tcPr>
            <w:tcW w:w="1913" w:type="dxa"/>
            <w:vMerge w:val="restart"/>
            <w:vAlign w:val="center"/>
          </w:tcPr>
          <w:p w14:paraId="1FA05A62">
            <w:pPr>
              <w:spacing w:line="240" w:lineRule="auto"/>
              <w:ind w:firstLine="0" w:firstLineChars="0"/>
            </w:pPr>
            <w:r>
              <w:rPr>
                <w:rFonts w:hint="eastAsia"/>
              </w:rPr>
              <w:t>无篇数限制</w:t>
            </w:r>
          </w:p>
        </w:tc>
      </w:tr>
      <w:tr w14:paraId="66DC9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31" w:type="dxa"/>
            <w:vMerge w:val="continue"/>
            <w:vAlign w:val="center"/>
          </w:tcPr>
          <w:p w14:paraId="6F6E633B">
            <w:pPr>
              <w:spacing w:line="240" w:lineRule="auto"/>
              <w:ind w:firstLine="0" w:firstLineChars="0"/>
              <w:jc w:val="center"/>
            </w:pPr>
          </w:p>
        </w:tc>
        <w:tc>
          <w:tcPr>
            <w:tcW w:w="3397" w:type="dxa"/>
          </w:tcPr>
          <w:p w14:paraId="5EF7202F">
            <w:pPr>
              <w:spacing w:line="240" w:lineRule="auto"/>
              <w:ind w:firstLine="0" w:firstLineChars="0"/>
              <w:jc w:val="center"/>
            </w:pPr>
            <w:r>
              <w:rPr>
                <w:rFonts w:hint="eastAsia"/>
              </w:rPr>
              <w:t>二等奖、银奖、第二名、亚军</w:t>
            </w:r>
          </w:p>
        </w:tc>
        <w:tc>
          <w:tcPr>
            <w:tcW w:w="750" w:type="dxa"/>
          </w:tcPr>
          <w:p w14:paraId="0A7495FD">
            <w:pPr>
              <w:spacing w:line="240" w:lineRule="auto"/>
              <w:ind w:firstLine="0" w:firstLineChars="0"/>
              <w:jc w:val="center"/>
            </w:pPr>
            <w:r>
              <w:rPr>
                <w:rFonts w:hint="eastAsia"/>
              </w:rPr>
              <w:t>6</w:t>
            </w:r>
          </w:p>
        </w:tc>
        <w:tc>
          <w:tcPr>
            <w:tcW w:w="1913" w:type="dxa"/>
            <w:vMerge w:val="continue"/>
            <w:vAlign w:val="center"/>
          </w:tcPr>
          <w:p w14:paraId="4DE33605">
            <w:pPr>
              <w:spacing w:line="240" w:lineRule="auto"/>
              <w:ind w:firstLine="0" w:firstLineChars="0"/>
            </w:pPr>
          </w:p>
        </w:tc>
      </w:tr>
      <w:tr w14:paraId="76289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31" w:type="dxa"/>
            <w:vMerge w:val="continue"/>
            <w:vAlign w:val="center"/>
          </w:tcPr>
          <w:p w14:paraId="227B8865">
            <w:pPr>
              <w:spacing w:line="240" w:lineRule="auto"/>
              <w:ind w:firstLine="0" w:firstLineChars="0"/>
              <w:jc w:val="center"/>
            </w:pPr>
          </w:p>
        </w:tc>
        <w:tc>
          <w:tcPr>
            <w:tcW w:w="3397" w:type="dxa"/>
          </w:tcPr>
          <w:p w14:paraId="559C5440">
            <w:pPr>
              <w:spacing w:line="240" w:lineRule="auto"/>
              <w:ind w:firstLine="0" w:firstLineChars="0"/>
              <w:jc w:val="center"/>
            </w:pPr>
            <w:r>
              <w:rPr>
                <w:rFonts w:hint="eastAsia"/>
              </w:rPr>
              <w:t>三等奖、铜奖、第三名、季军</w:t>
            </w:r>
          </w:p>
        </w:tc>
        <w:tc>
          <w:tcPr>
            <w:tcW w:w="750" w:type="dxa"/>
          </w:tcPr>
          <w:p w14:paraId="400E63FA">
            <w:pPr>
              <w:spacing w:line="240" w:lineRule="auto"/>
              <w:ind w:firstLine="0" w:firstLineChars="0"/>
              <w:jc w:val="center"/>
            </w:pPr>
            <w:r>
              <w:rPr>
                <w:rFonts w:hint="eastAsia"/>
              </w:rPr>
              <w:t>5</w:t>
            </w:r>
          </w:p>
        </w:tc>
        <w:tc>
          <w:tcPr>
            <w:tcW w:w="1913" w:type="dxa"/>
            <w:vMerge w:val="continue"/>
            <w:vAlign w:val="center"/>
          </w:tcPr>
          <w:p w14:paraId="05AFDFFF">
            <w:pPr>
              <w:spacing w:line="240" w:lineRule="auto"/>
              <w:ind w:firstLine="0" w:firstLineChars="0"/>
            </w:pPr>
          </w:p>
        </w:tc>
      </w:tr>
      <w:tr w14:paraId="5D776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31" w:type="dxa"/>
            <w:vMerge w:val="continue"/>
            <w:vAlign w:val="center"/>
          </w:tcPr>
          <w:p w14:paraId="3C7C10A3">
            <w:pPr>
              <w:spacing w:line="240" w:lineRule="auto"/>
              <w:ind w:firstLine="0" w:firstLineChars="0"/>
              <w:jc w:val="center"/>
            </w:pPr>
          </w:p>
        </w:tc>
        <w:tc>
          <w:tcPr>
            <w:tcW w:w="3397" w:type="dxa"/>
          </w:tcPr>
          <w:p w14:paraId="65E79359">
            <w:pPr>
              <w:spacing w:line="240" w:lineRule="auto"/>
              <w:ind w:firstLine="0" w:firstLineChars="0"/>
              <w:jc w:val="center"/>
            </w:pPr>
            <w:r>
              <w:rPr>
                <w:rFonts w:hint="eastAsia"/>
              </w:rPr>
              <w:t>其他奖</w:t>
            </w:r>
          </w:p>
        </w:tc>
        <w:tc>
          <w:tcPr>
            <w:tcW w:w="750" w:type="dxa"/>
          </w:tcPr>
          <w:p w14:paraId="7C0D9066">
            <w:pPr>
              <w:spacing w:line="240" w:lineRule="auto"/>
              <w:ind w:firstLine="0" w:firstLineChars="0"/>
              <w:jc w:val="center"/>
            </w:pPr>
            <w:r>
              <w:rPr>
                <w:rFonts w:hint="eastAsia"/>
              </w:rPr>
              <w:t>3</w:t>
            </w:r>
          </w:p>
        </w:tc>
        <w:tc>
          <w:tcPr>
            <w:tcW w:w="1913" w:type="dxa"/>
            <w:vMerge w:val="continue"/>
            <w:vAlign w:val="center"/>
          </w:tcPr>
          <w:p w14:paraId="5765D929">
            <w:pPr>
              <w:spacing w:line="240" w:lineRule="auto"/>
              <w:ind w:firstLine="0" w:firstLineChars="0"/>
            </w:pPr>
          </w:p>
        </w:tc>
      </w:tr>
      <w:tr w14:paraId="1230E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31" w:type="dxa"/>
            <w:vMerge w:val="restart"/>
            <w:vAlign w:val="center"/>
          </w:tcPr>
          <w:p w14:paraId="5847A77A">
            <w:pPr>
              <w:spacing w:line="240" w:lineRule="auto"/>
              <w:ind w:firstLine="0" w:firstLineChars="0"/>
              <w:jc w:val="center"/>
            </w:pPr>
            <w:r>
              <w:rPr>
                <w:rFonts w:hint="eastAsia"/>
              </w:rPr>
              <w:t>省级</w:t>
            </w:r>
          </w:p>
        </w:tc>
        <w:tc>
          <w:tcPr>
            <w:tcW w:w="3397" w:type="dxa"/>
          </w:tcPr>
          <w:p w14:paraId="1874D0AB">
            <w:pPr>
              <w:spacing w:line="240" w:lineRule="auto"/>
              <w:ind w:firstLine="0" w:firstLineChars="0"/>
              <w:jc w:val="center"/>
            </w:pPr>
            <w:r>
              <w:rPr>
                <w:rFonts w:hint="eastAsia"/>
              </w:rPr>
              <w:t>一等奖、金奖、第一名、冠军</w:t>
            </w:r>
          </w:p>
        </w:tc>
        <w:tc>
          <w:tcPr>
            <w:tcW w:w="750" w:type="dxa"/>
          </w:tcPr>
          <w:p w14:paraId="4E8DB4E8">
            <w:pPr>
              <w:spacing w:line="240" w:lineRule="auto"/>
              <w:ind w:firstLine="0" w:firstLineChars="0"/>
              <w:jc w:val="center"/>
            </w:pPr>
            <w:r>
              <w:rPr>
                <w:rFonts w:hint="eastAsia"/>
              </w:rPr>
              <w:t>5</w:t>
            </w:r>
          </w:p>
        </w:tc>
        <w:tc>
          <w:tcPr>
            <w:tcW w:w="1913" w:type="dxa"/>
            <w:vMerge w:val="restart"/>
            <w:vAlign w:val="center"/>
          </w:tcPr>
          <w:p w14:paraId="29959D11">
            <w:pPr>
              <w:spacing w:line="240" w:lineRule="auto"/>
              <w:ind w:firstLine="0" w:firstLineChars="0"/>
            </w:pPr>
            <w:r>
              <w:rPr>
                <w:rFonts w:hint="eastAsia"/>
                <w:color w:val="auto"/>
              </w:rPr>
              <w:t>论文发表和论文竞赛</w:t>
            </w:r>
            <w:r>
              <w:rPr>
                <w:rFonts w:hint="eastAsia" w:ascii="宋体" w:hAnsi="宋体" w:cs="宋体"/>
                <w:color w:val="auto"/>
                <w:kern w:val="0"/>
              </w:rPr>
              <w:t>仅限1篇。</w:t>
            </w:r>
          </w:p>
        </w:tc>
      </w:tr>
      <w:tr w14:paraId="53D87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31" w:type="dxa"/>
            <w:vMerge w:val="continue"/>
          </w:tcPr>
          <w:p w14:paraId="6A297BC1">
            <w:pPr>
              <w:spacing w:line="240" w:lineRule="auto"/>
              <w:ind w:firstLine="0" w:firstLineChars="0"/>
              <w:jc w:val="center"/>
            </w:pPr>
          </w:p>
        </w:tc>
        <w:tc>
          <w:tcPr>
            <w:tcW w:w="3397" w:type="dxa"/>
          </w:tcPr>
          <w:p w14:paraId="5F96659C">
            <w:pPr>
              <w:spacing w:line="240" w:lineRule="auto"/>
              <w:ind w:firstLine="0" w:firstLineChars="0"/>
              <w:jc w:val="center"/>
            </w:pPr>
            <w:r>
              <w:rPr>
                <w:rFonts w:hint="eastAsia"/>
              </w:rPr>
              <w:t>二等奖、银奖、第二名、亚军</w:t>
            </w:r>
          </w:p>
        </w:tc>
        <w:tc>
          <w:tcPr>
            <w:tcW w:w="750" w:type="dxa"/>
          </w:tcPr>
          <w:p w14:paraId="26FA0769">
            <w:pPr>
              <w:spacing w:line="240" w:lineRule="auto"/>
              <w:ind w:firstLine="0" w:firstLineChars="0"/>
              <w:jc w:val="center"/>
            </w:pPr>
            <w:r>
              <w:rPr>
                <w:rFonts w:hint="eastAsia"/>
              </w:rPr>
              <w:t>2</w:t>
            </w:r>
          </w:p>
        </w:tc>
        <w:tc>
          <w:tcPr>
            <w:tcW w:w="1913" w:type="dxa"/>
            <w:vMerge w:val="continue"/>
          </w:tcPr>
          <w:p w14:paraId="2901261B">
            <w:pPr>
              <w:spacing w:line="240" w:lineRule="auto"/>
              <w:ind w:firstLine="0" w:firstLineChars="0"/>
            </w:pPr>
          </w:p>
        </w:tc>
      </w:tr>
      <w:tr w14:paraId="4B857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31" w:type="dxa"/>
            <w:vMerge w:val="continue"/>
          </w:tcPr>
          <w:p w14:paraId="46B11DD0">
            <w:pPr>
              <w:spacing w:line="240" w:lineRule="auto"/>
              <w:ind w:firstLine="0" w:firstLineChars="0"/>
              <w:jc w:val="center"/>
            </w:pPr>
          </w:p>
        </w:tc>
        <w:tc>
          <w:tcPr>
            <w:tcW w:w="3397" w:type="dxa"/>
          </w:tcPr>
          <w:p w14:paraId="0742D067">
            <w:pPr>
              <w:spacing w:line="240" w:lineRule="auto"/>
              <w:ind w:firstLine="0" w:firstLineChars="0"/>
              <w:jc w:val="center"/>
            </w:pPr>
            <w:r>
              <w:rPr>
                <w:rFonts w:hint="eastAsia"/>
              </w:rPr>
              <w:t>三等奖、铜奖、第三名、季军</w:t>
            </w:r>
          </w:p>
        </w:tc>
        <w:tc>
          <w:tcPr>
            <w:tcW w:w="750" w:type="dxa"/>
          </w:tcPr>
          <w:p w14:paraId="40720522">
            <w:pPr>
              <w:spacing w:line="240" w:lineRule="auto"/>
              <w:ind w:firstLine="0" w:firstLineChars="0"/>
              <w:jc w:val="center"/>
            </w:pPr>
            <w:r>
              <w:rPr>
                <w:rFonts w:hint="eastAsia"/>
              </w:rPr>
              <w:t>2</w:t>
            </w:r>
          </w:p>
        </w:tc>
        <w:tc>
          <w:tcPr>
            <w:tcW w:w="1913" w:type="dxa"/>
            <w:vMerge w:val="continue"/>
          </w:tcPr>
          <w:p w14:paraId="61F8F687">
            <w:pPr>
              <w:spacing w:line="240" w:lineRule="auto"/>
              <w:ind w:firstLine="0" w:firstLineChars="0"/>
            </w:pPr>
          </w:p>
        </w:tc>
      </w:tr>
      <w:tr w14:paraId="1738B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31" w:type="dxa"/>
            <w:vMerge w:val="continue"/>
          </w:tcPr>
          <w:p w14:paraId="2802D97A">
            <w:pPr>
              <w:spacing w:line="240" w:lineRule="auto"/>
              <w:ind w:firstLine="0" w:firstLineChars="0"/>
              <w:jc w:val="center"/>
            </w:pPr>
          </w:p>
        </w:tc>
        <w:tc>
          <w:tcPr>
            <w:tcW w:w="3397" w:type="dxa"/>
          </w:tcPr>
          <w:p w14:paraId="373C37B1">
            <w:pPr>
              <w:spacing w:line="240" w:lineRule="auto"/>
              <w:ind w:firstLine="0" w:firstLineChars="0"/>
              <w:jc w:val="center"/>
            </w:pPr>
            <w:r>
              <w:rPr>
                <w:rFonts w:hint="eastAsia"/>
              </w:rPr>
              <w:t>其他奖</w:t>
            </w:r>
          </w:p>
        </w:tc>
        <w:tc>
          <w:tcPr>
            <w:tcW w:w="750" w:type="dxa"/>
          </w:tcPr>
          <w:p w14:paraId="298FEDD4">
            <w:pPr>
              <w:spacing w:line="240" w:lineRule="auto"/>
              <w:ind w:firstLine="0" w:firstLineChars="0"/>
              <w:jc w:val="center"/>
            </w:pPr>
            <w:r>
              <w:rPr>
                <w:rFonts w:hint="eastAsia"/>
              </w:rPr>
              <w:t>1</w:t>
            </w:r>
          </w:p>
        </w:tc>
        <w:tc>
          <w:tcPr>
            <w:tcW w:w="1913" w:type="dxa"/>
            <w:vMerge w:val="continue"/>
          </w:tcPr>
          <w:p w14:paraId="46859679">
            <w:pPr>
              <w:spacing w:line="240" w:lineRule="auto"/>
              <w:ind w:firstLine="0" w:firstLineChars="0"/>
            </w:pPr>
          </w:p>
        </w:tc>
      </w:tr>
    </w:tbl>
    <w:p w14:paraId="566B2C6B">
      <w:pPr>
        <w:ind w:firstLine="480"/>
      </w:pPr>
    </w:p>
    <w:p w14:paraId="62BFA7E0">
      <w:pPr>
        <w:pStyle w:val="11"/>
        <w:ind w:left="960" w:hanging="960"/>
        <w:rPr>
          <w:rFonts w:hint="default"/>
          <w:color w:val="FF0000"/>
        </w:rPr>
      </w:pPr>
      <w:r>
        <w:t>具体论文竞赛所属的类型级别，参见《</w:t>
      </w:r>
      <w:r>
        <w:rPr>
          <w:rFonts w:hint="eastAsia"/>
          <w:lang w:eastAsia="zh-CN"/>
        </w:rPr>
        <w:t>研究生</w:t>
      </w:r>
      <w:r>
        <w:t>纳入</w:t>
      </w:r>
      <w:r>
        <w:rPr>
          <w:rFonts w:hint="eastAsia"/>
          <w:lang w:eastAsia="zh-CN"/>
        </w:rPr>
        <w:t>评优</w:t>
      </w:r>
      <w:r>
        <w:t>加分的论文竞赛</w:t>
      </w:r>
      <w:r>
        <w:rPr>
          <w:rFonts w:hint="eastAsia"/>
          <w:lang w:eastAsia="zh-CN"/>
        </w:rPr>
        <w:t>清单</w:t>
      </w:r>
      <w:r>
        <w:t>》。论文竞赛在清单内的，依据清单确定加分级别。</w:t>
      </w:r>
    </w:p>
    <w:p w14:paraId="3B337CB5">
      <w:pPr>
        <w:pStyle w:val="11"/>
        <w:ind w:left="960" w:hanging="960"/>
        <w:rPr>
          <w:rFonts w:hint="default"/>
          <w:color w:val="auto"/>
          <w:highlight w:val="none"/>
        </w:rPr>
      </w:pPr>
      <w:r>
        <w:rPr>
          <w:color w:val="auto"/>
        </w:rPr>
        <w:t>论文竞赛不在清单内的，申请人须</w:t>
      </w:r>
      <w:r>
        <w:rPr>
          <w:rFonts w:hint="eastAsia"/>
          <w:color w:val="auto"/>
          <w:lang w:eastAsia="zh-CN"/>
        </w:rPr>
        <w:t>在年度征集期</w:t>
      </w:r>
      <w:r>
        <w:rPr>
          <w:color w:val="auto"/>
        </w:rPr>
        <w:t>间，向评审小组上报加分材料，申请认定论文竞赛所属级别。逾期不申请、申请认定不通过的，不纳入加分范畴。</w:t>
      </w:r>
      <w:r>
        <w:rPr>
          <w:bCs/>
          <w:color w:val="auto"/>
          <w:highlight w:val="none"/>
        </w:rPr>
        <w:t>论文竞赛的级别分类及其赋分由评审委员会裁定。</w:t>
      </w:r>
    </w:p>
    <w:p w14:paraId="1ED016A6">
      <w:pPr>
        <w:pStyle w:val="11"/>
        <w:bidi w:val="0"/>
        <w:rPr>
          <w:rFonts w:hint="default"/>
        </w:rPr>
      </w:pPr>
      <w:r>
        <w:t>参与竞赛的论文、刊登发表的论文，标题和正文在内容上大体一致或完全一致的，只能纳入其中一个板块的加分范畴。</w:t>
      </w:r>
      <w:r>
        <w:rPr>
          <w:rFonts w:hint="eastAsia"/>
        </w:rPr>
        <w:t>原则上只取最高加分，如出现跨年度且次年加分值高的只计算差额分</w:t>
      </w:r>
      <w:r>
        <w:rPr>
          <w:rFonts w:hint="eastAsia"/>
          <w:lang w:eastAsia="zh-CN"/>
        </w:rPr>
        <w:t>。</w:t>
      </w:r>
      <w:bookmarkStart w:id="2" w:name="_GoBack"/>
      <w:bookmarkEnd w:id="2"/>
    </w:p>
    <w:p w14:paraId="3A27743F">
      <w:pPr>
        <w:pStyle w:val="11"/>
        <w:bidi w:val="0"/>
        <w:rPr>
          <w:rFonts w:hint="default"/>
        </w:rPr>
      </w:pPr>
      <w:r>
        <w:t>获奖级别尚未纳入表2，且难以区别获奖级别的，申请人须在</w:t>
      </w:r>
      <w:r>
        <w:rPr>
          <w:rFonts w:hint="eastAsia"/>
        </w:rPr>
        <w:t>年度</w:t>
      </w:r>
      <w:r>
        <w:rPr>
          <w:rFonts w:hint="eastAsia"/>
          <w:lang w:eastAsia="zh-CN"/>
        </w:rPr>
        <w:t>征集</w:t>
      </w:r>
      <w:r>
        <w:t>期间，向评审小组上报加分材料，申请认定奖项名称所属级别。获奖级别由评审委员会裁定。</w:t>
      </w:r>
    </w:p>
    <w:p w14:paraId="6EA2087B">
      <w:pPr>
        <w:pStyle w:val="11"/>
        <w:ind w:left="960" w:hanging="960"/>
      </w:pPr>
      <w:r>
        <w:rPr>
          <w:rFonts w:hint="default"/>
        </w:rPr>
        <w:t>申请人须在规定时间内，向评审</w:t>
      </w:r>
      <w:r>
        <w:t>小</w:t>
      </w:r>
      <w:r>
        <w:rPr>
          <w:rFonts w:hint="default"/>
        </w:rPr>
        <w:t>组提交论文</w:t>
      </w:r>
      <w:r>
        <w:t>竞赛获奖</w:t>
      </w:r>
      <w:r>
        <w:rPr>
          <w:rFonts w:hint="default"/>
        </w:rPr>
        <w:t>的所有证明材料，</w:t>
      </w:r>
      <w:r>
        <w:t>显示明确的获奖</w:t>
      </w:r>
      <w:r>
        <w:rPr>
          <w:rFonts w:hint="default"/>
        </w:rPr>
        <w:t>时间、</w:t>
      </w:r>
      <w:r>
        <w:t>奖项名称、作者排序位次</w:t>
      </w:r>
      <w:r>
        <w:rPr>
          <w:rFonts w:hint="default"/>
        </w:rPr>
        <w:t>等基本信息。申请人向评审</w:t>
      </w:r>
      <w:r>
        <w:t>小</w:t>
      </w:r>
      <w:r>
        <w:rPr>
          <w:rFonts w:hint="default"/>
        </w:rPr>
        <w:t>组提交证明材料复印件时，须出具</w:t>
      </w:r>
      <w:r>
        <w:t>奖状</w:t>
      </w:r>
      <w:r>
        <w:rPr>
          <w:rFonts w:hint="default"/>
        </w:rPr>
        <w:t>原件。</w:t>
      </w:r>
      <w:r>
        <w:rPr>
          <w:bCs/>
          <w:highlight w:val="none"/>
        </w:rPr>
        <w:t>如主办方只颁发电子奖状或只是网络公告，应该打印相应的电子邮件或</w:t>
      </w:r>
      <w:r>
        <w:rPr>
          <w:rFonts w:hint="eastAsia"/>
          <w:bCs/>
          <w:highlight w:val="none"/>
          <w:lang w:eastAsia="zh-CN"/>
        </w:rPr>
        <w:t>官方</w:t>
      </w:r>
      <w:r>
        <w:rPr>
          <w:bCs/>
          <w:highlight w:val="none"/>
        </w:rPr>
        <w:t>网络页面，并由指导教师签名确认</w:t>
      </w:r>
      <w:r>
        <w:rPr>
          <w:rFonts w:hint="eastAsia"/>
          <w:bCs/>
          <w:highlight w:val="none"/>
          <w:lang w:eastAsia="zh-CN"/>
        </w:rPr>
        <w:t>，并承诺该成果只使用一次。</w:t>
      </w:r>
    </w:p>
    <w:p w14:paraId="48C124D0">
      <w:pPr>
        <w:ind w:firstLine="480"/>
      </w:pPr>
    </w:p>
    <w:p w14:paraId="3602DA70">
      <w:pPr>
        <w:ind w:firstLine="482"/>
        <w:jc w:val="center"/>
        <w:outlineLvl w:val="0"/>
      </w:pPr>
      <w:r>
        <w:rPr>
          <w:rFonts w:hint="eastAsia"/>
          <w:b/>
          <w:bCs/>
        </w:rPr>
        <w:t xml:space="preserve">第四章  </w:t>
      </w:r>
      <w:r>
        <w:rPr>
          <w:rFonts w:hint="eastAsia"/>
          <w:b/>
          <w:bCs/>
          <w:color w:val="auto"/>
        </w:rPr>
        <w:t>学科</w:t>
      </w:r>
      <w:r>
        <w:rPr>
          <w:rFonts w:hint="eastAsia"/>
          <w:b/>
          <w:bCs/>
        </w:rPr>
        <w:t>竞赛获奖的加分级别确定方法</w:t>
      </w:r>
    </w:p>
    <w:p w14:paraId="50195C37">
      <w:pPr>
        <w:pStyle w:val="11"/>
        <w:ind w:left="960" w:hanging="960"/>
        <w:rPr>
          <w:rFonts w:hint="default"/>
        </w:rPr>
      </w:pPr>
      <w:r>
        <w:t>纳入评奖加分的学科竞赛，其</w:t>
      </w:r>
      <w:r>
        <w:rPr>
          <w:rFonts w:hint="default"/>
        </w:rPr>
        <w:t>报名时间须为研究生报到之后</w:t>
      </w:r>
      <w:r>
        <w:t>，且必须属于以下某一类型：</w:t>
      </w:r>
    </w:p>
    <w:p w14:paraId="37176A20">
      <w:pPr>
        <w:numPr>
          <w:ilvl w:val="5"/>
          <w:numId w:val="0"/>
        </w:numPr>
        <w:ind w:left="720" w:leftChars="300"/>
      </w:pPr>
      <w:r>
        <w:rPr>
          <w:rFonts w:hint="eastAsia"/>
        </w:rPr>
        <w:t>（一）</w:t>
      </w:r>
      <w:r>
        <w:t>共青团中央委员会、教育部和广东省教育厅主办的科研项目获奖</w:t>
      </w:r>
      <w:r>
        <w:rPr>
          <w:rFonts w:hint="eastAsia"/>
        </w:rPr>
        <w:t>，</w:t>
      </w:r>
      <w:r>
        <w:t>如挑战杯，创业大赛以及各类科技大赛等</w:t>
      </w:r>
      <w:r>
        <w:rPr>
          <w:rFonts w:hint="eastAsia"/>
        </w:rPr>
        <w:t>；</w:t>
      </w:r>
    </w:p>
    <w:p w14:paraId="6888E864">
      <w:pPr>
        <w:numPr>
          <w:ilvl w:val="5"/>
          <w:numId w:val="0"/>
        </w:numPr>
        <w:ind w:left="720" w:leftChars="300"/>
      </w:pPr>
      <w:r>
        <w:rPr>
          <w:rFonts w:hint="eastAsia"/>
        </w:rPr>
        <w:t>（二）</w:t>
      </w:r>
      <w:r>
        <w:t>国家级</w:t>
      </w:r>
      <w:r>
        <w:rPr>
          <w:rFonts w:hint="eastAsia"/>
        </w:rPr>
        <w:t>、</w:t>
      </w:r>
      <w:r>
        <w:t>省级的学会及其下设的二级分支机构、全国教指委或学术期刊主办的学科竞赛；</w:t>
      </w:r>
    </w:p>
    <w:p w14:paraId="5CCAB314">
      <w:pPr>
        <w:numPr>
          <w:ilvl w:val="5"/>
          <w:numId w:val="0"/>
        </w:numPr>
        <w:ind w:left="720" w:leftChars="300"/>
      </w:pPr>
      <w:r>
        <w:rPr>
          <w:rFonts w:hint="eastAsia"/>
        </w:rPr>
        <w:t>（三）</w:t>
      </w:r>
      <w:r>
        <w:t>经评审</w:t>
      </w:r>
      <w:r>
        <w:rPr>
          <w:rFonts w:hint="eastAsia"/>
        </w:rPr>
        <w:t>小组</w:t>
      </w:r>
      <w:r>
        <w:t>认定</w:t>
      </w:r>
      <w:r>
        <w:rPr>
          <w:rFonts w:hint="eastAsia"/>
        </w:rPr>
        <w:t>的</w:t>
      </w:r>
      <w:r>
        <w:t>其他有重要影响力的竞赛</w:t>
      </w:r>
      <w:r>
        <w:rPr>
          <w:rFonts w:hint="eastAsia"/>
        </w:rPr>
        <w:t>。</w:t>
      </w:r>
    </w:p>
    <w:p w14:paraId="355AECBD">
      <w:pPr>
        <w:ind w:firstLine="480"/>
      </w:pPr>
    </w:p>
    <w:p w14:paraId="6D178397">
      <w:pPr>
        <w:pStyle w:val="11"/>
        <w:ind w:left="960" w:hanging="960"/>
        <w:rPr>
          <w:rFonts w:hint="default"/>
        </w:rPr>
      </w:pPr>
      <w:r>
        <w:t>学科</w:t>
      </w:r>
      <w:r>
        <w:rPr>
          <w:rFonts w:hint="default"/>
        </w:rPr>
        <w:t>竞赛</w:t>
      </w:r>
      <w:r>
        <w:t>加分</w:t>
      </w:r>
      <w:r>
        <w:rPr>
          <w:rFonts w:hint="default"/>
        </w:rPr>
        <w:t>级别认定</w:t>
      </w:r>
      <w:r>
        <w:t>的</w:t>
      </w:r>
      <w:r>
        <w:rPr>
          <w:rFonts w:hint="default"/>
        </w:rPr>
        <w:t>基本原则：</w:t>
      </w:r>
    </w:p>
    <w:p w14:paraId="789F08C7">
      <w:pPr>
        <w:ind w:left="960" w:leftChars="400" w:firstLine="0" w:firstLineChars="0"/>
      </w:pPr>
      <w:r>
        <w:t>1、主办单位是业界认可的国际级学术机构，参赛对象面向全球多个国家高校学生，竞赛评委阵容强大</w:t>
      </w:r>
      <w:r>
        <w:rPr>
          <w:rFonts w:hint="eastAsia"/>
        </w:rPr>
        <w:t>，</w:t>
      </w:r>
      <w:r>
        <w:t>运用本学科知识为主的学科专业竞赛，</w:t>
      </w:r>
      <w:r>
        <w:rPr>
          <w:rFonts w:hint="eastAsia"/>
        </w:rPr>
        <w:t>认定为</w:t>
      </w:r>
      <w:r>
        <w:t>国际级A</w:t>
      </w:r>
      <w:r>
        <w:rPr>
          <w:rFonts w:hint="eastAsia"/>
        </w:rPr>
        <w:t>；</w:t>
      </w:r>
    </w:p>
    <w:p w14:paraId="2804DD0F">
      <w:pPr>
        <w:ind w:left="960" w:leftChars="400" w:firstLine="0" w:firstLineChars="0"/>
      </w:pPr>
      <w:r>
        <w:rPr>
          <w:rFonts w:hint="eastAsia"/>
        </w:rPr>
        <w:t>2</w:t>
      </w:r>
      <w:r>
        <w:t>、主办单位是业界认可的国家级专业学术机构，如教育部、教指委、一级学会，参赛对象面向国内各高校学生，运用本学科知识为主的学科专业竞赛，竞赛性质为学术性</w:t>
      </w:r>
      <w:r>
        <w:rPr>
          <w:rFonts w:hint="eastAsia"/>
        </w:rPr>
        <w:t>，认定为</w:t>
      </w:r>
      <w:r>
        <w:t>国家级B1</w:t>
      </w:r>
      <w:r>
        <w:rPr>
          <w:rFonts w:hint="eastAsia"/>
        </w:rPr>
        <w:t>；</w:t>
      </w:r>
    </w:p>
    <w:p w14:paraId="53A281BC">
      <w:pPr>
        <w:ind w:left="960" w:leftChars="400" w:firstLine="0" w:firstLineChars="0"/>
      </w:pPr>
      <w:r>
        <w:rPr>
          <w:rFonts w:hint="eastAsia"/>
        </w:rPr>
        <w:t>3</w:t>
      </w:r>
      <w:r>
        <w:t>、主办单位是业界认可的国家级专业学术机构，如教育部、教指委、一级学会的二级机构，参赛对象面向国内各高校学生，运用本学科知识为主的学科专业竞赛，竞赛性质为学术性</w:t>
      </w:r>
      <w:r>
        <w:rPr>
          <w:rFonts w:hint="eastAsia"/>
        </w:rPr>
        <w:t>，认定为</w:t>
      </w:r>
      <w:r>
        <w:t>国家级B2</w:t>
      </w:r>
      <w:r>
        <w:rPr>
          <w:rFonts w:hint="eastAsia"/>
        </w:rPr>
        <w:t>；</w:t>
      </w:r>
    </w:p>
    <w:p w14:paraId="0EEBF1E1">
      <w:pPr>
        <w:ind w:left="960" w:leftChars="400" w:firstLine="0" w:firstLineChars="0"/>
      </w:pPr>
      <w:r>
        <w:rPr>
          <w:rFonts w:hint="eastAsia"/>
        </w:rPr>
        <w:t>4、</w:t>
      </w:r>
      <w:r>
        <w:t>主办单位是业界认可的省级专业学术机构</w:t>
      </w:r>
      <w:r>
        <w:rPr>
          <w:rFonts w:hint="eastAsia"/>
          <w:highlight w:val="none"/>
        </w:rPr>
        <w:t>及其二级机构</w:t>
      </w:r>
      <w:r>
        <w:rPr>
          <w:highlight w:val="none"/>
        </w:rPr>
        <w:t>，</w:t>
      </w:r>
      <w:r>
        <w:t>参赛对象面向国内各高校学生，运用本学科知识为主的学科专业竞赛，竞赛性质为学术性</w:t>
      </w:r>
      <w:r>
        <w:rPr>
          <w:rFonts w:hint="eastAsia"/>
        </w:rPr>
        <w:t>，认定为</w:t>
      </w:r>
      <w:r>
        <w:t>省级</w:t>
      </w:r>
      <w:r>
        <w:rPr>
          <w:rFonts w:hint="eastAsia"/>
          <w:lang w:val="en-US" w:eastAsia="zh-CN"/>
        </w:rPr>
        <w:t>C</w:t>
      </w:r>
      <w:r>
        <w:t>。</w:t>
      </w:r>
    </w:p>
    <w:p w14:paraId="45DCEC87">
      <w:pPr>
        <w:ind w:firstLine="480"/>
      </w:pPr>
      <w:r>
        <w:rPr>
          <w:rFonts w:hint="eastAsia"/>
          <w:lang w:eastAsia="zh-CN"/>
        </w:rPr>
        <w:t>学科</w:t>
      </w:r>
      <w:r>
        <w:rPr>
          <w:rFonts w:hint="eastAsia"/>
        </w:rPr>
        <w:t>竞赛</w:t>
      </w:r>
      <w:r>
        <w:t>的级别分类及其赋分</w:t>
      </w:r>
      <w:r>
        <w:rPr>
          <w:rFonts w:hint="eastAsia"/>
        </w:rPr>
        <w:t>，如表3所示：</w:t>
      </w:r>
    </w:p>
    <w:p w14:paraId="45A74E16">
      <w:pPr>
        <w:ind w:firstLine="482"/>
        <w:jc w:val="center"/>
      </w:pPr>
      <w:r>
        <w:rPr>
          <w:rFonts w:hint="eastAsia"/>
          <w:b/>
          <w:bCs/>
        </w:rPr>
        <w:t>表3学科竞赛获奖的分类级别及其赋分</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9"/>
        <w:gridCol w:w="3404"/>
        <w:gridCol w:w="750"/>
        <w:gridCol w:w="1308"/>
      </w:tblGrid>
      <w:tr w14:paraId="0FEEF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19" w:type="dxa"/>
            <w:vAlign w:val="center"/>
          </w:tcPr>
          <w:p w14:paraId="48A30BD8">
            <w:pPr>
              <w:spacing w:line="240" w:lineRule="auto"/>
              <w:ind w:firstLine="0" w:firstLineChars="0"/>
              <w:jc w:val="center"/>
              <w:rPr>
                <w:b/>
                <w:bCs/>
              </w:rPr>
            </w:pPr>
            <w:r>
              <w:rPr>
                <w:rFonts w:hint="eastAsia"/>
                <w:b/>
                <w:bCs/>
              </w:rPr>
              <w:t>加分级别</w:t>
            </w:r>
          </w:p>
        </w:tc>
        <w:tc>
          <w:tcPr>
            <w:tcW w:w="3404" w:type="dxa"/>
            <w:vAlign w:val="center"/>
          </w:tcPr>
          <w:p w14:paraId="3591A1EC">
            <w:pPr>
              <w:spacing w:line="240" w:lineRule="auto"/>
              <w:ind w:firstLine="0" w:firstLineChars="0"/>
              <w:jc w:val="center"/>
              <w:rPr>
                <w:b/>
                <w:bCs/>
              </w:rPr>
            </w:pPr>
            <w:r>
              <w:rPr>
                <w:rFonts w:hint="eastAsia"/>
                <w:b/>
                <w:bCs/>
              </w:rPr>
              <w:t>获奖级别</w:t>
            </w:r>
          </w:p>
        </w:tc>
        <w:tc>
          <w:tcPr>
            <w:tcW w:w="750" w:type="dxa"/>
            <w:vAlign w:val="center"/>
          </w:tcPr>
          <w:p w14:paraId="093A65DF">
            <w:pPr>
              <w:spacing w:line="240" w:lineRule="auto"/>
              <w:ind w:firstLine="0" w:firstLineChars="0"/>
              <w:jc w:val="center"/>
              <w:rPr>
                <w:b/>
                <w:bCs/>
              </w:rPr>
            </w:pPr>
            <w:r>
              <w:rPr>
                <w:rFonts w:hint="eastAsia"/>
                <w:b/>
                <w:bCs/>
              </w:rPr>
              <w:t>赋分</w:t>
            </w:r>
          </w:p>
        </w:tc>
        <w:tc>
          <w:tcPr>
            <w:tcW w:w="1308" w:type="dxa"/>
            <w:vAlign w:val="center"/>
          </w:tcPr>
          <w:p w14:paraId="1BB9529A">
            <w:pPr>
              <w:spacing w:line="240" w:lineRule="auto"/>
              <w:ind w:firstLine="0" w:firstLineChars="0"/>
              <w:jc w:val="center"/>
              <w:rPr>
                <w:b/>
                <w:bCs/>
              </w:rPr>
            </w:pPr>
            <w:r>
              <w:rPr>
                <w:rFonts w:hint="eastAsia"/>
                <w:b/>
                <w:bCs/>
              </w:rPr>
              <w:t>备注</w:t>
            </w:r>
          </w:p>
        </w:tc>
      </w:tr>
      <w:tr w14:paraId="4D071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19" w:type="dxa"/>
            <w:vMerge w:val="restart"/>
            <w:vAlign w:val="center"/>
          </w:tcPr>
          <w:p w14:paraId="3450F1D5">
            <w:pPr>
              <w:spacing w:line="240" w:lineRule="auto"/>
              <w:ind w:firstLine="0" w:firstLineChars="0"/>
              <w:jc w:val="center"/>
            </w:pPr>
            <w:r>
              <w:rPr>
                <w:rFonts w:ascii="宋体" w:hAnsi="宋体" w:cs="宋体"/>
                <w:kern w:val="0"/>
              </w:rPr>
              <w:t>国际级</w:t>
            </w:r>
            <w:r>
              <w:rPr>
                <w:rFonts w:hint="eastAsia" w:ascii="宋体" w:hAnsi="宋体" w:cs="宋体"/>
                <w:kern w:val="0"/>
              </w:rPr>
              <w:t>A</w:t>
            </w:r>
          </w:p>
        </w:tc>
        <w:tc>
          <w:tcPr>
            <w:tcW w:w="3404" w:type="dxa"/>
          </w:tcPr>
          <w:p w14:paraId="784153CE">
            <w:pPr>
              <w:spacing w:line="240" w:lineRule="auto"/>
              <w:ind w:firstLine="0" w:firstLineChars="0"/>
              <w:jc w:val="center"/>
            </w:pPr>
            <w:r>
              <w:rPr>
                <w:rFonts w:hint="eastAsia"/>
              </w:rPr>
              <w:t>一等奖、金奖、第一名、冠军</w:t>
            </w:r>
          </w:p>
        </w:tc>
        <w:tc>
          <w:tcPr>
            <w:tcW w:w="750" w:type="dxa"/>
            <w:vAlign w:val="center"/>
          </w:tcPr>
          <w:p w14:paraId="04991BFD">
            <w:pPr>
              <w:spacing w:line="240" w:lineRule="auto"/>
              <w:ind w:firstLine="0" w:firstLineChars="0"/>
              <w:jc w:val="center"/>
            </w:pPr>
            <w:r>
              <w:rPr>
                <w:rFonts w:cs="宋体"/>
                <w:kern w:val="0"/>
                <w:highlight w:val="none"/>
              </w:rPr>
              <w:t>30</w:t>
            </w:r>
          </w:p>
        </w:tc>
        <w:tc>
          <w:tcPr>
            <w:tcW w:w="1308" w:type="dxa"/>
            <w:vMerge w:val="restart"/>
            <w:vAlign w:val="center"/>
          </w:tcPr>
          <w:p w14:paraId="34FF5A29">
            <w:pPr>
              <w:spacing w:line="240" w:lineRule="auto"/>
              <w:ind w:firstLine="0" w:firstLineChars="0"/>
              <w:jc w:val="center"/>
            </w:pPr>
            <w:r>
              <w:rPr>
                <w:rFonts w:hint="eastAsia" w:ascii="宋体" w:hAnsi="宋体" w:cs="宋体"/>
                <w:color w:val="auto"/>
                <w:kern w:val="0"/>
                <w:highlight w:val="none"/>
              </w:rPr>
              <w:t>国家级的</w:t>
            </w:r>
            <w:r>
              <w:rPr>
                <w:rFonts w:hint="eastAsia"/>
                <w:color w:val="auto"/>
                <w:highlight w:val="none"/>
              </w:rPr>
              <w:t>其他奖以及省级奖仅限一项；</w:t>
            </w:r>
          </w:p>
        </w:tc>
      </w:tr>
      <w:tr w14:paraId="12010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19" w:type="dxa"/>
            <w:vMerge w:val="continue"/>
            <w:vAlign w:val="center"/>
          </w:tcPr>
          <w:p w14:paraId="60CAF310">
            <w:pPr>
              <w:spacing w:line="240" w:lineRule="auto"/>
              <w:ind w:firstLine="0" w:firstLineChars="0"/>
              <w:jc w:val="center"/>
              <w:rPr>
                <w:rFonts w:ascii="宋体" w:hAnsi="宋体" w:cs="宋体"/>
                <w:kern w:val="0"/>
              </w:rPr>
            </w:pPr>
          </w:p>
        </w:tc>
        <w:tc>
          <w:tcPr>
            <w:tcW w:w="3404" w:type="dxa"/>
          </w:tcPr>
          <w:p w14:paraId="2A33AA75">
            <w:pPr>
              <w:spacing w:line="240" w:lineRule="auto"/>
              <w:ind w:firstLine="0" w:firstLineChars="0"/>
              <w:jc w:val="center"/>
            </w:pPr>
            <w:r>
              <w:rPr>
                <w:rFonts w:hint="eastAsia"/>
              </w:rPr>
              <w:t>二等奖、银奖、第二名、亚军</w:t>
            </w:r>
          </w:p>
        </w:tc>
        <w:tc>
          <w:tcPr>
            <w:tcW w:w="750" w:type="dxa"/>
            <w:vAlign w:val="center"/>
          </w:tcPr>
          <w:p w14:paraId="66614F83">
            <w:pPr>
              <w:spacing w:line="240" w:lineRule="auto"/>
              <w:ind w:firstLine="0" w:firstLineChars="0"/>
              <w:jc w:val="center"/>
            </w:pPr>
            <w:r>
              <w:rPr>
                <w:rFonts w:hint="eastAsia" w:cs="宋体"/>
                <w:kern w:val="0"/>
              </w:rPr>
              <w:t>20</w:t>
            </w:r>
          </w:p>
        </w:tc>
        <w:tc>
          <w:tcPr>
            <w:tcW w:w="1308" w:type="dxa"/>
            <w:vMerge w:val="continue"/>
            <w:vAlign w:val="center"/>
          </w:tcPr>
          <w:p w14:paraId="0A918320">
            <w:pPr>
              <w:spacing w:line="240" w:lineRule="auto"/>
              <w:ind w:firstLine="0" w:firstLineChars="0"/>
              <w:jc w:val="center"/>
            </w:pPr>
          </w:p>
        </w:tc>
      </w:tr>
      <w:tr w14:paraId="6AA01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19" w:type="dxa"/>
            <w:vMerge w:val="continue"/>
            <w:vAlign w:val="center"/>
          </w:tcPr>
          <w:p w14:paraId="79A9D124">
            <w:pPr>
              <w:spacing w:line="240" w:lineRule="auto"/>
              <w:ind w:firstLine="0" w:firstLineChars="0"/>
              <w:jc w:val="center"/>
              <w:rPr>
                <w:rFonts w:ascii="宋体" w:hAnsi="宋体" w:cs="宋体"/>
                <w:kern w:val="0"/>
              </w:rPr>
            </w:pPr>
          </w:p>
        </w:tc>
        <w:tc>
          <w:tcPr>
            <w:tcW w:w="3404" w:type="dxa"/>
          </w:tcPr>
          <w:p w14:paraId="00BCFEAC">
            <w:pPr>
              <w:spacing w:line="240" w:lineRule="auto"/>
              <w:ind w:firstLine="0" w:firstLineChars="0"/>
              <w:jc w:val="center"/>
            </w:pPr>
            <w:r>
              <w:rPr>
                <w:rFonts w:hint="eastAsia"/>
              </w:rPr>
              <w:t>三等奖、铜奖、第三名、季军</w:t>
            </w:r>
          </w:p>
        </w:tc>
        <w:tc>
          <w:tcPr>
            <w:tcW w:w="750" w:type="dxa"/>
            <w:vAlign w:val="center"/>
          </w:tcPr>
          <w:p w14:paraId="3F669614">
            <w:pPr>
              <w:spacing w:line="240" w:lineRule="auto"/>
              <w:ind w:firstLine="0" w:firstLineChars="0"/>
              <w:jc w:val="center"/>
            </w:pPr>
            <w:r>
              <w:rPr>
                <w:rFonts w:hint="eastAsia" w:cs="宋体"/>
                <w:kern w:val="0"/>
              </w:rPr>
              <w:t>18</w:t>
            </w:r>
          </w:p>
        </w:tc>
        <w:tc>
          <w:tcPr>
            <w:tcW w:w="1308" w:type="dxa"/>
            <w:vMerge w:val="continue"/>
            <w:vAlign w:val="center"/>
          </w:tcPr>
          <w:p w14:paraId="7983A60D">
            <w:pPr>
              <w:spacing w:line="240" w:lineRule="auto"/>
              <w:ind w:firstLine="0" w:firstLineChars="0"/>
              <w:jc w:val="center"/>
            </w:pPr>
          </w:p>
        </w:tc>
      </w:tr>
      <w:tr w14:paraId="6DBD3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19" w:type="dxa"/>
            <w:vMerge w:val="continue"/>
            <w:vAlign w:val="center"/>
          </w:tcPr>
          <w:p w14:paraId="258D43FE">
            <w:pPr>
              <w:spacing w:line="240" w:lineRule="auto"/>
              <w:ind w:firstLine="0" w:firstLineChars="0"/>
              <w:jc w:val="center"/>
              <w:rPr>
                <w:rFonts w:ascii="宋体" w:hAnsi="宋体" w:cs="宋体"/>
                <w:kern w:val="0"/>
              </w:rPr>
            </w:pPr>
          </w:p>
        </w:tc>
        <w:tc>
          <w:tcPr>
            <w:tcW w:w="3404" w:type="dxa"/>
            <w:vAlign w:val="center"/>
          </w:tcPr>
          <w:p w14:paraId="746A4938">
            <w:pPr>
              <w:spacing w:line="240" w:lineRule="auto"/>
              <w:ind w:firstLine="0" w:firstLineChars="0"/>
              <w:jc w:val="center"/>
            </w:pPr>
            <w:r>
              <w:rPr>
                <w:rFonts w:hint="eastAsia"/>
              </w:rPr>
              <w:t>其他奖</w:t>
            </w:r>
          </w:p>
        </w:tc>
        <w:tc>
          <w:tcPr>
            <w:tcW w:w="750" w:type="dxa"/>
            <w:vAlign w:val="center"/>
          </w:tcPr>
          <w:p w14:paraId="7E6C2C71">
            <w:pPr>
              <w:spacing w:line="240" w:lineRule="auto"/>
              <w:ind w:firstLine="0" w:firstLineChars="0"/>
              <w:jc w:val="center"/>
            </w:pPr>
            <w:r>
              <w:rPr>
                <w:rFonts w:hint="eastAsia" w:cs="宋体"/>
                <w:kern w:val="0"/>
              </w:rPr>
              <w:t>15</w:t>
            </w:r>
          </w:p>
        </w:tc>
        <w:tc>
          <w:tcPr>
            <w:tcW w:w="1308" w:type="dxa"/>
            <w:vMerge w:val="continue"/>
            <w:vAlign w:val="center"/>
          </w:tcPr>
          <w:p w14:paraId="35B0D1B2">
            <w:pPr>
              <w:spacing w:line="240" w:lineRule="auto"/>
              <w:ind w:firstLine="0" w:firstLineChars="0"/>
              <w:jc w:val="center"/>
            </w:pPr>
          </w:p>
        </w:tc>
      </w:tr>
      <w:tr w14:paraId="62267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19" w:type="dxa"/>
            <w:vMerge w:val="restart"/>
            <w:vAlign w:val="center"/>
          </w:tcPr>
          <w:p w14:paraId="5B73E693">
            <w:pPr>
              <w:spacing w:line="240" w:lineRule="auto"/>
              <w:ind w:firstLine="0" w:firstLineChars="0"/>
              <w:jc w:val="center"/>
            </w:pPr>
            <w:r>
              <w:rPr>
                <w:rFonts w:hint="eastAsia"/>
              </w:rPr>
              <w:t>国家级B1</w:t>
            </w:r>
          </w:p>
        </w:tc>
        <w:tc>
          <w:tcPr>
            <w:tcW w:w="3404" w:type="dxa"/>
          </w:tcPr>
          <w:p w14:paraId="18E72B55">
            <w:pPr>
              <w:spacing w:line="240" w:lineRule="auto"/>
              <w:ind w:firstLine="0" w:firstLineChars="0"/>
              <w:jc w:val="center"/>
            </w:pPr>
            <w:r>
              <w:rPr>
                <w:rFonts w:hint="eastAsia"/>
              </w:rPr>
              <w:t>一等奖、金奖、第一名、冠军</w:t>
            </w:r>
          </w:p>
        </w:tc>
        <w:tc>
          <w:tcPr>
            <w:tcW w:w="750" w:type="dxa"/>
          </w:tcPr>
          <w:p w14:paraId="686A39BF">
            <w:pPr>
              <w:spacing w:line="240" w:lineRule="auto"/>
              <w:ind w:firstLine="0" w:firstLineChars="0"/>
              <w:jc w:val="center"/>
            </w:pPr>
            <w:r>
              <w:rPr>
                <w:rFonts w:hint="eastAsia"/>
              </w:rPr>
              <w:t>15</w:t>
            </w:r>
          </w:p>
        </w:tc>
        <w:tc>
          <w:tcPr>
            <w:tcW w:w="1308" w:type="dxa"/>
            <w:vMerge w:val="continue"/>
            <w:vAlign w:val="center"/>
          </w:tcPr>
          <w:p w14:paraId="0C051C00">
            <w:pPr>
              <w:spacing w:line="240" w:lineRule="auto"/>
              <w:ind w:firstLine="0" w:firstLineChars="0"/>
              <w:jc w:val="center"/>
            </w:pPr>
          </w:p>
        </w:tc>
      </w:tr>
      <w:tr w14:paraId="0D705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19" w:type="dxa"/>
            <w:vMerge w:val="continue"/>
            <w:vAlign w:val="center"/>
          </w:tcPr>
          <w:p w14:paraId="4472FB97">
            <w:pPr>
              <w:spacing w:line="240" w:lineRule="auto"/>
              <w:ind w:firstLine="0" w:firstLineChars="0"/>
              <w:jc w:val="center"/>
            </w:pPr>
          </w:p>
        </w:tc>
        <w:tc>
          <w:tcPr>
            <w:tcW w:w="3404" w:type="dxa"/>
          </w:tcPr>
          <w:p w14:paraId="3B1E4A50">
            <w:pPr>
              <w:spacing w:line="240" w:lineRule="auto"/>
              <w:ind w:firstLine="0" w:firstLineChars="0"/>
              <w:jc w:val="center"/>
            </w:pPr>
            <w:r>
              <w:rPr>
                <w:rFonts w:hint="eastAsia"/>
              </w:rPr>
              <w:t>二等奖、银奖、第二名、亚军</w:t>
            </w:r>
          </w:p>
        </w:tc>
        <w:tc>
          <w:tcPr>
            <w:tcW w:w="750" w:type="dxa"/>
          </w:tcPr>
          <w:p w14:paraId="2664CEF3">
            <w:pPr>
              <w:spacing w:line="240" w:lineRule="auto"/>
              <w:ind w:firstLine="0" w:firstLineChars="0"/>
              <w:jc w:val="center"/>
            </w:pPr>
            <w:r>
              <w:rPr>
                <w:rFonts w:hint="eastAsia"/>
              </w:rPr>
              <w:t>10</w:t>
            </w:r>
          </w:p>
        </w:tc>
        <w:tc>
          <w:tcPr>
            <w:tcW w:w="1308" w:type="dxa"/>
            <w:vMerge w:val="continue"/>
            <w:vAlign w:val="center"/>
          </w:tcPr>
          <w:p w14:paraId="6B98041E">
            <w:pPr>
              <w:spacing w:line="240" w:lineRule="auto"/>
              <w:ind w:firstLine="0" w:firstLineChars="0"/>
              <w:jc w:val="center"/>
            </w:pPr>
          </w:p>
        </w:tc>
      </w:tr>
      <w:tr w14:paraId="006BF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19" w:type="dxa"/>
            <w:vMerge w:val="continue"/>
            <w:vAlign w:val="center"/>
          </w:tcPr>
          <w:p w14:paraId="0DFE1468">
            <w:pPr>
              <w:spacing w:line="240" w:lineRule="auto"/>
              <w:ind w:firstLine="0" w:firstLineChars="0"/>
              <w:jc w:val="center"/>
            </w:pPr>
          </w:p>
        </w:tc>
        <w:tc>
          <w:tcPr>
            <w:tcW w:w="3404" w:type="dxa"/>
          </w:tcPr>
          <w:p w14:paraId="5BF04ACA">
            <w:pPr>
              <w:spacing w:line="240" w:lineRule="auto"/>
              <w:ind w:firstLine="0" w:firstLineChars="0"/>
              <w:jc w:val="center"/>
            </w:pPr>
            <w:r>
              <w:rPr>
                <w:rFonts w:hint="eastAsia"/>
              </w:rPr>
              <w:t>三等奖、铜奖、第三名、季军</w:t>
            </w:r>
          </w:p>
        </w:tc>
        <w:tc>
          <w:tcPr>
            <w:tcW w:w="750" w:type="dxa"/>
          </w:tcPr>
          <w:p w14:paraId="60072D9C">
            <w:pPr>
              <w:spacing w:line="240" w:lineRule="auto"/>
              <w:ind w:firstLine="0" w:firstLineChars="0"/>
              <w:jc w:val="center"/>
            </w:pPr>
            <w:r>
              <w:rPr>
                <w:rFonts w:hint="eastAsia"/>
              </w:rPr>
              <w:t>8</w:t>
            </w:r>
          </w:p>
        </w:tc>
        <w:tc>
          <w:tcPr>
            <w:tcW w:w="1308" w:type="dxa"/>
            <w:vMerge w:val="continue"/>
            <w:vAlign w:val="center"/>
          </w:tcPr>
          <w:p w14:paraId="56B52530">
            <w:pPr>
              <w:spacing w:line="240" w:lineRule="auto"/>
              <w:ind w:firstLine="0" w:firstLineChars="0"/>
              <w:jc w:val="center"/>
            </w:pPr>
          </w:p>
        </w:tc>
      </w:tr>
      <w:tr w14:paraId="6D5B6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19" w:type="dxa"/>
            <w:vMerge w:val="continue"/>
            <w:vAlign w:val="center"/>
          </w:tcPr>
          <w:p w14:paraId="61F06D07">
            <w:pPr>
              <w:spacing w:line="240" w:lineRule="auto"/>
              <w:ind w:firstLine="0" w:firstLineChars="0"/>
              <w:jc w:val="center"/>
            </w:pPr>
          </w:p>
        </w:tc>
        <w:tc>
          <w:tcPr>
            <w:tcW w:w="3404" w:type="dxa"/>
          </w:tcPr>
          <w:p w14:paraId="792A88D5">
            <w:pPr>
              <w:spacing w:line="240" w:lineRule="auto"/>
              <w:ind w:firstLine="0" w:firstLineChars="0"/>
              <w:jc w:val="center"/>
            </w:pPr>
            <w:r>
              <w:rPr>
                <w:rFonts w:hint="eastAsia"/>
              </w:rPr>
              <w:t>其他奖</w:t>
            </w:r>
          </w:p>
        </w:tc>
        <w:tc>
          <w:tcPr>
            <w:tcW w:w="750" w:type="dxa"/>
          </w:tcPr>
          <w:p w14:paraId="46A885E6">
            <w:pPr>
              <w:spacing w:line="240" w:lineRule="auto"/>
              <w:ind w:firstLine="0" w:firstLineChars="0"/>
              <w:jc w:val="center"/>
            </w:pPr>
            <w:r>
              <w:rPr>
                <w:rFonts w:hint="eastAsia"/>
              </w:rPr>
              <w:t>6</w:t>
            </w:r>
          </w:p>
        </w:tc>
        <w:tc>
          <w:tcPr>
            <w:tcW w:w="1308" w:type="dxa"/>
            <w:vMerge w:val="continue"/>
            <w:vAlign w:val="center"/>
          </w:tcPr>
          <w:p w14:paraId="752F1383">
            <w:pPr>
              <w:spacing w:line="240" w:lineRule="auto"/>
              <w:ind w:firstLine="0" w:firstLineChars="0"/>
              <w:jc w:val="center"/>
            </w:pPr>
          </w:p>
        </w:tc>
      </w:tr>
      <w:tr w14:paraId="5A28F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19" w:type="dxa"/>
            <w:vMerge w:val="restart"/>
            <w:vAlign w:val="center"/>
          </w:tcPr>
          <w:p w14:paraId="4F2F9FB6">
            <w:pPr>
              <w:spacing w:line="240" w:lineRule="auto"/>
              <w:ind w:firstLine="0" w:firstLineChars="0"/>
              <w:jc w:val="center"/>
            </w:pPr>
            <w:r>
              <w:rPr>
                <w:rFonts w:hint="eastAsia"/>
              </w:rPr>
              <w:t>国家级B2</w:t>
            </w:r>
          </w:p>
        </w:tc>
        <w:tc>
          <w:tcPr>
            <w:tcW w:w="3404" w:type="dxa"/>
          </w:tcPr>
          <w:p w14:paraId="299E1676">
            <w:pPr>
              <w:spacing w:line="240" w:lineRule="auto"/>
              <w:ind w:firstLine="0" w:firstLineChars="0"/>
              <w:jc w:val="center"/>
            </w:pPr>
            <w:r>
              <w:rPr>
                <w:rFonts w:hint="eastAsia"/>
              </w:rPr>
              <w:t>一等奖、金奖、第一名、冠军</w:t>
            </w:r>
          </w:p>
        </w:tc>
        <w:tc>
          <w:tcPr>
            <w:tcW w:w="750" w:type="dxa"/>
          </w:tcPr>
          <w:p w14:paraId="6794299C">
            <w:pPr>
              <w:spacing w:line="240" w:lineRule="auto"/>
              <w:ind w:firstLine="0" w:firstLineChars="0"/>
              <w:jc w:val="center"/>
            </w:pPr>
            <w:r>
              <w:rPr>
                <w:rFonts w:hint="eastAsia"/>
              </w:rPr>
              <w:t>10</w:t>
            </w:r>
          </w:p>
        </w:tc>
        <w:tc>
          <w:tcPr>
            <w:tcW w:w="1308" w:type="dxa"/>
            <w:vMerge w:val="continue"/>
            <w:vAlign w:val="center"/>
          </w:tcPr>
          <w:p w14:paraId="5DA5C7E5">
            <w:pPr>
              <w:spacing w:line="240" w:lineRule="auto"/>
              <w:ind w:firstLine="0" w:firstLineChars="0"/>
              <w:jc w:val="center"/>
            </w:pPr>
          </w:p>
        </w:tc>
      </w:tr>
      <w:tr w14:paraId="17E92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19" w:type="dxa"/>
            <w:vMerge w:val="continue"/>
            <w:vAlign w:val="center"/>
          </w:tcPr>
          <w:p w14:paraId="242C5610">
            <w:pPr>
              <w:spacing w:line="240" w:lineRule="auto"/>
              <w:ind w:firstLine="0" w:firstLineChars="0"/>
              <w:jc w:val="center"/>
            </w:pPr>
          </w:p>
        </w:tc>
        <w:tc>
          <w:tcPr>
            <w:tcW w:w="3404" w:type="dxa"/>
          </w:tcPr>
          <w:p w14:paraId="73E4FA28">
            <w:pPr>
              <w:spacing w:line="240" w:lineRule="auto"/>
              <w:ind w:firstLine="0" w:firstLineChars="0"/>
              <w:jc w:val="center"/>
            </w:pPr>
            <w:r>
              <w:rPr>
                <w:rFonts w:hint="eastAsia"/>
              </w:rPr>
              <w:t>二等奖、银奖、第二名、亚军</w:t>
            </w:r>
          </w:p>
        </w:tc>
        <w:tc>
          <w:tcPr>
            <w:tcW w:w="750" w:type="dxa"/>
          </w:tcPr>
          <w:p w14:paraId="724ECB1B">
            <w:pPr>
              <w:spacing w:line="240" w:lineRule="auto"/>
              <w:ind w:firstLine="0" w:firstLineChars="0"/>
              <w:jc w:val="center"/>
            </w:pPr>
            <w:r>
              <w:rPr>
                <w:rFonts w:hint="eastAsia"/>
              </w:rPr>
              <w:t>8</w:t>
            </w:r>
          </w:p>
        </w:tc>
        <w:tc>
          <w:tcPr>
            <w:tcW w:w="1308" w:type="dxa"/>
            <w:vMerge w:val="continue"/>
            <w:vAlign w:val="center"/>
          </w:tcPr>
          <w:p w14:paraId="6DED1963">
            <w:pPr>
              <w:spacing w:line="240" w:lineRule="auto"/>
              <w:ind w:firstLine="0" w:firstLineChars="0"/>
              <w:jc w:val="center"/>
            </w:pPr>
          </w:p>
        </w:tc>
      </w:tr>
      <w:tr w14:paraId="7C053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19" w:type="dxa"/>
            <w:vMerge w:val="continue"/>
            <w:vAlign w:val="center"/>
          </w:tcPr>
          <w:p w14:paraId="034E3BD0">
            <w:pPr>
              <w:spacing w:line="240" w:lineRule="auto"/>
              <w:ind w:firstLine="0" w:firstLineChars="0"/>
              <w:jc w:val="center"/>
            </w:pPr>
          </w:p>
        </w:tc>
        <w:tc>
          <w:tcPr>
            <w:tcW w:w="3404" w:type="dxa"/>
          </w:tcPr>
          <w:p w14:paraId="3B74A9D6">
            <w:pPr>
              <w:spacing w:line="240" w:lineRule="auto"/>
              <w:ind w:firstLine="0" w:firstLineChars="0"/>
              <w:jc w:val="center"/>
            </w:pPr>
            <w:r>
              <w:rPr>
                <w:rFonts w:hint="eastAsia"/>
              </w:rPr>
              <w:t>三等奖、铜奖、第三名、季军</w:t>
            </w:r>
          </w:p>
        </w:tc>
        <w:tc>
          <w:tcPr>
            <w:tcW w:w="750" w:type="dxa"/>
          </w:tcPr>
          <w:p w14:paraId="1DF5AEB0">
            <w:pPr>
              <w:spacing w:line="240" w:lineRule="auto"/>
              <w:ind w:firstLine="0" w:firstLineChars="0"/>
              <w:jc w:val="center"/>
            </w:pPr>
            <w:r>
              <w:rPr>
                <w:rFonts w:hint="eastAsia"/>
              </w:rPr>
              <w:t>6</w:t>
            </w:r>
          </w:p>
        </w:tc>
        <w:tc>
          <w:tcPr>
            <w:tcW w:w="1308" w:type="dxa"/>
            <w:vMerge w:val="continue"/>
            <w:vAlign w:val="center"/>
          </w:tcPr>
          <w:p w14:paraId="6DF25C04">
            <w:pPr>
              <w:spacing w:line="240" w:lineRule="auto"/>
              <w:ind w:firstLine="0" w:firstLineChars="0"/>
              <w:jc w:val="center"/>
            </w:pPr>
          </w:p>
        </w:tc>
      </w:tr>
      <w:tr w14:paraId="3650B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19" w:type="dxa"/>
            <w:vMerge w:val="continue"/>
            <w:vAlign w:val="center"/>
          </w:tcPr>
          <w:p w14:paraId="2B296A76">
            <w:pPr>
              <w:spacing w:line="240" w:lineRule="auto"/>
              <w:ind w:firstLine="0" w:firstLineChars="0"/>
              <w:jc w:val="center"/>
            </w:pPr>
          </w:p>
        </w:tc>
        <w:tc>
          <w:tcPr>
            <w:tcW w:w="3404" w:type="dxa"/>
          </w:tcPr>
          <w:p w14:paraId="7D03C8C7">
            <w:pPr>
              <w:spacing w:line="240" w:lineRule="auto"/>
              <w:ind w:firstLine="0" w:firstLineChars="0"/>
              <w:jc w:val="center"/>
            </w:pPr>
            <w:r>
              <w:rPr>
                <w:rFonts w:hint="eastAsia"/>
              </w:rPr>
              <w:t>其他奖</w:t>
            </w:r>
          </w:p>
        </w:tc>
        <w:tc>
          <w:tcPr>
            <w:tcW w:w="750" w:type="dxa"/>
          </w:tcPr>
          <w:p w14:paraId="2E43E871">
            <w:pPr>
              <w:spacing w:line="240" w:lineRule="auto"/>
              <w:ind w:firstLine="0" w:firstLineChars="0"/>
              <w:jc w:val="center"/>
            </w:pPr>
            <w:r>
              <w:rPr>
                <w:rFonts w:hint="eastAsia"/>
              </w:rPr>
              <w:t>4</w:t>
            </w:r>
          </w:p>
        </w:tc>
        <w:tc>
          <w:tcPr>
            <w:tcW w:w="1308" w:type="dxa"/>
            <w:vMerge w:val="continue"/>
            <w:vAlign w:val="center"/>
          </w:tcPr>
          <w:p w14:paraId="1D1469A0">
            <w:pPr>
              <w:spacing w:line="240" w:lineRule="auto"/>
              <w:ind w:firstLine="0" w:firstLineChars="0"/>
              <w:jc w:val="center"/>
            </w:pPr>
          </w:p>
        </w:tc>
      </w:tr>
      <w:tr w14:paraId="70461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19" w:type="dxa"/>
            <w:vMerge w:val="restart"/>
            <w:vAlign w:val="center"/>
          </w:tcPr>
          <w:p w14:paraId="6FEA324B">
            <w:pPr>
              <w:spacing w:line="240" w:lineRule="auto"/>
              <w:ind w:firstLine="0" w:firstLineChars="0"/>
              <w:jc w:val="center"/>
            </w:pPr>
            <w:r>
              <w:rPr>
                <w:rFonts w:hint="eastAsia"/>
              </w:rPr>
              <w:t>省级</w:t>
            </w:r>
            <w:r>
              <w:rPr>
                <w:highlight w:val="none"/>
              </w:rPr>
              <w:t>C</w:t>
            </w:r>
          </w:p>
        </w:tc>
        <w:tc>
          <w:tcPr>
            <w:tcW w:w="3404" w:type="dxa"/>
          </w:tcPr>
          <w:p w14:paraId="113322F4">
            <w:pPr>
              <w:spacing w:line="240" w:lineRule="auto"/>
              <w:ind w:firstLine="0" w:firstLineChars="0"/>
              <w:jc w:val="center"/>
            </w:pPr>
            <w:r>
              <w:rPr>
                <w:rFonts w:hint="eastAsia"/>
              </w:rPr>
              <w:t>一等奖、金奖、第一名、冠军</w:t>
            </w:r>
          </w:p>
        </w:tc>
        <w:tc>
          <w:tcPr>
            <w:tcW w:w="750" w:type="dxa"/>
          </w:tcPr>
          <w:p w14:paraId="0743818C">
            <w:pPr>
              <w:spacing w:line="240" w:lineRule="auto"/>
              <w:ind w:firstLine="0" w:firstLineChars="0"/>
              <w:jc w:val="center"/>
            </w:pPr>
            <w:r>
              <w:rPr>
                <w:rFonts w:hint="eastAsia"/>
              </w:rPr>
              <w:t>6</w:t>
            </w:r>
          </w:p>
        </w:tc>
        <w:tc>
          <w:tcPr>
            <w:tcW w:w="1308" w:type="dxa"/>
            <w:vMerge w:val="continue"/>
            <w:vAlign w:val="center"/>
          </w:tcPr>
          <w:p w14:paraId="104694C0">
            <w:pPr>
              <w:spacing w:line="240" w:lineRule="auto"/>
              <w:ind w:firstLine="0" w:firstLineChars="0"/>
              <w:jc w:val="center"/>
            </w:pPr>
          </w:p>
        </w:tc>
      </w:tr>
      <w:tr w14:paraId="52939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19" w:type="dxa"/>
            <w:vMerge w:val="continue"/>
          </w:tcPr>
          <w:p w14:paraId="76C4BC77">
            <w:pPr>
              <w:spacing w:line="240" w:lineRule="auto"/>
              <w:ind w:firstLine="0" w:firstLineChars="0"/>
              <w:jc w:val="center"/>
            </w:pPr>
          </w:p>
        </w:tc>
        <w:tc>
          <w:tcPr>
            <w:tcW w:w="3404" w:type="dxa"/>
          </w:tcPr>
          <w:p w14:paraId="5E3F279F">
            <w:pPr>
              <w:spacing w:line="240" w:lineRule="auto"/>
              <w:ind w:firstLine="0" w:firstLineChars="0"/>
              <w:jc w:val="center"/>
            </w:pPr>
            <w:r>
              <w:rPr>
                <w:rFonts w:hint="eastAsia"/>
              </w:rPr>
              <w:t>二等奖、银奖、第二名、亚军</w:t>
            </w:r>
          </w:p>
        </w:tc>
        <w:tc>
          <w:tcPr>
            <w:tcW w:w="750" w:type="dxa"/>
          </w:tcPr>
          <w:p w14:paraId="6A5715D6">
            <w:pPr>
              <w:spacing w:line="240" w:lineRule="auto"/>
              <w:ind w:firstLine="0" w:firstLineChars="0"/>
              <w:jc w:val="center"/>
            </w:pPr>
            <w:r>
              <w:rPr>
                <w:rFonts w:hint="eastAsia"/>
              </w:rPr>
              <w:t>5</w:t>
            </w:r>
          </w:p>
        </w:tc>
        <w:tc>
          <w:tcPr>
            <w:tcW w:w="1308" w:type="dxa"/>
            <w:vMerge w:val="continue"/>
          </w:tcPr>
          <w:p w14:paraId="17C0628C">
            <w:pPr>
              <w:spacing w:line="240" w:lineRule="auto"/>
              <w:ind w:firstLine="0" w:firstLineChars="0"/>
            </w:pPr>
          </w:p>
        </w:tc>
      </w:tr>
      <w:tr w14:paraId="59BA8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1219" w:type="dxa"/>
            <w:vMerge w:val="continue"/>
          </w:tcPr>
          <w:p w14:paraId="3ADCF867">
            <w:pPr>
              <w:spacing w:line="240" w:lineRule="auto"/>
              <w:ind w:firstLine="0" w:firstLineChars="0"/>
              <w:jc w:val="center"/>
            </w:pPr>
          </w:p>
        </w:tc>
        <w:tc>
          <w:tcPr>
            <w:tcW w:w="3404" w:type="dxa"/>
          </w:tcPr>
          <w:p w14:paraId="2E177F6B">
            <w:pPr>
              <w:spacing w:line="240" w:lineRule="auto"/>
              <w:ind w:firstLine="0" w:firstLineChars="0"/>
              <w:jc w:val="center"/>
            </w:pPr>
            <w:r>
              <w:rPr>
                <w:rFonts w:hint="eastAsia"/>
              </w:rPr>
              <w:t>三等奖、铜奖、第三名、季军</w:t>
            </w:r>
          </w:p>
        </w:tc>
        <w:tc>
          <w:tcPr>
            <w:tcW w:w="750" w:type="dxa"/>
          </w:tcPr>
          <w:p w14:paraId="60A2C94B">
            <w:pPr>
              <w:spacing w:line="240" w:lineRule="auto"/>
              <w:ind w:firstLine="0" w:firstLineChars="0"/>
              <w:jc w:val="center"/>
            </w:pPr>
            <w:r>
              <w:rPr>
                <w:rFonts w:hint="eastAsia"/>
              </w:rPr>
              <w:t>4</w:t>
            </w:r>
          </w:p>
        </w:tc>
        <w:tc>
          <w:tcPr>
            <w:tcW w:w="1308" w:type="dxa"/>
            <w:vMerge w:val="continue"/>
          </w:tcPr>
          <w:p w14:paraId="451DDC07">
            <w:pPr>
              <w:spacing w:line="240" w:lineRule="auto"/>
              <w:ind w:firstLine="0" w:firstLineChars="0"/>
            </w:pPr>
          </w:p>
        </w:tc>
      </w:tr>
    </w:tbl>
    <w:p w14:paraId="1E3C1847">
      <w:pPr>
        <w:ind w:firstLine="480"/>
      </w:pPr>
    </w:p>
    <w:p w14:paraId="421F3AAB">
      <w:pPr>
        <w:pStyle w:val="11"/>
        <w:ind w:left="960" w:hanging="960"/>
        <w:rPr>
          <w:rFonts w:hint="default"/>
          <w:color w:val="auto"/>
        </w:rPr>
      </w:pPr>
      <w:r>
        <w:rPr>
          <w:color w:val="auto"/>
        </w:rPr>
        <w:t>具体学科竞赛所属的类型级别，参见《</w:t>
      </w:r>
      <w:r>
        <w:rPr>
          <w:rFonts w:hint="eastAsia"/>
          <w:color w:val="auto"/>
          <w:lang w:eastAsia="zh-CN"/>
        </w:rPr>
        <w:t>研究生</w:t>
      </w:r>
      <w:r>
        <w:rPr>
          <w:color w:val="auto"/>
        </w:rPr>
        <w:t>纳入评</w:t>
      </w:r>
      <w:r>
        <w:rPr>
          <w:rFonts w:hint="eastAsia"/>
          <w:color w:val="auto"/>
          <w:lang w:eastAsia="zh-CN"/>
        </w:rPr>
        <w:t>优</w:t>
      </w:r>
      <w:r>
        <w:rPr>
          <w:color w:val="auto"/>
        </w:rPr>
        <w:t>加分的</w:t>
      </w:r>
      <w:r>
        <w:rPr>
          <w:rFonts w:hint="eastAsia"/>
          <w:color w:val="auto"/>
          <w:lang w:eastAsia="zh-CN"/>
        </w:rPr>
        <w:t>学科</w:t>
      </w:r>
      <w:r>
        <w:rPr>
          <w:color w:val="auto"/>
        </w:rPr>
        <w:t>竞赛</w:t>
      </w:r>
      <w:r>
        <w:rPr>
          <w:rFonts w:hint="eastAsia"/>
          <w:color w:val="auto"/>
          <w:lang w:eastAsia="zh-CN"/>
        </w:rPr>
        <w:t>清单</w:t>
      </w:r>
      <w:r>
        <w:rPr>
          <w:color w:val="auto"/>
        </w:rPr>
        <w:t>》。</w:t>
      </w:r>
      <w:r>
        <w:rPr>
          <w:rFonts w:hint="eastAsia"/>
          <w:color w:val="auto"/>
          <w:lang w:eastAsia="zh-CN"/>
        </w:rPr>
        <w:t>学科</w:t>
      </w:r>
      <w:r>
        <w:rPr>
          <w:color w:val="auto"/>
        </w:rPr>
        <w:t>竞赛在清单内的，依据清单确定加分级别。</w:t>
      </w:r>
    </w:p>
    <w:p w14:paraId="4776CC5A">
      <w:pPr>
        <w:pStyle w:val="11"/>
        <w:bidi w:val="0"/>
        <w:rPr>
          <w:rFonts w:hint="default"/>
        </w:rPr>
      </w:pPr>
      <w:r>
        <w:t>学科竞赛不在清单内的，申请人须在</w:t>
      </w:r>
      <w:r>
        <w:rPr>
          <w:rFonts w:hint="eastAsia"/>
          <w:lang w:eastAsia="zh-CN"/>
        </w:rPr>
        <w:t>年度征集</w:t>
      </w:r>
      <w:r>
        <w:t>期间，向评审小组上报加分材料，申请认定</w:t>
      </w:r>
      <w:r>
        <w:rPr>
          <w:rFonts w:hint="eastAsia"/>
          <w:lang w:eastAsia="zh-CN"/>
        </w:rPr>
        <w:t>学科</w:t>
      </w:r>
      <w:r>
        <w:t>竞赛所属级别。逾期不申请、申请认定不通过的，不纳入加分范畴。学科竞赛的级别分类及其赋分由评审委员会裁定。</w:t>
      </w:r>
    </w:p>
    <w:p w14:paraId="1DA8FD78">
      <w:pPr>
        <w:pStyle w:val="11"/>
        <w:bidi w:val="0"/>
        <w:rPr>
          <w:rFonts w:hint="default"/>
        </w:rPr>
      </w:pPr>
      <w:r>
        <w:t>参与不同类型竞赛的作品，在内容上大体一致或完全一致的，只能纳入其中一个竞赛的加分范畴</w:t>
      </w:r>
      <w:r>
        <w:rPr>
          <w:rFonts w:hint="eastAsia"/>
        </w:rPr>
        <w:t>，原则上只取最高加分，如出现跨年度且次年加分值高的只计算差额分。</w:t>
      </w:r>
    </w:p>
    <w:p w14:paraId="3B0868FA">
      <w:pPr>
        <w:pStyle w:val="11"/>
        <w:bidi w:val="0"/>
        <w:rPr>
          <w:rFonts w:hint="default"/>
        </w:rPr>
      </w:pPr>
      <w:r>
        <w:t>获奖级别尚未纳入表3，且难以区别获奖级别的，申请人须在</w:t>
      </w:r>
      <w:r>
        <w:rPr>
          <w:rFonts w:hint="eastAsia"/>
          <w:lang w:eastAsia="zh-CN"/>
        </w:rPr>
        <w:t>年度征集</w:t>
      </w:r>
      <w:r>
        <w:t>期间，向评审小组上报加分材料，申请认定奖项名称所属级别。获奖级别</w:t>
      </w:r>
      <w:r>
        <w:rPr>
          <w:rFonts w:hint="eastAsia"/>
          <w:lang w:eastAsia="zh-CN"/>
        </w:rPr>
        <w:t>及其分数</w:t>
      </w:r>
      <w:r>
        <w:t>由评审委员会裁定。</w:t>
      </w:r>
    </w:p>
    <w:p w14:paraId="1A2446DD">
      <w:pPr>
        <w:pStyle w:val="11"/>
        <w:bidi w:val="0"/>
      </w:pPr>
      <w:r>
        <w:rPr>
          <w:rFonts w:hint="default"/>
        </w:rPr>
        <w:t>申请人须在规定时间内，向评审</w:t>
      </w:r>
      <w:r>
        <w:t>小</w:t>
      </w:r>
      <w:r>
        <w:rPr>
          <w:rFonts w:hint="default"/>
        </w:rPr>
        <w:t>组提交</w:t>
      </w:r>
      <w:r>
        <w:t>学科竞赛获奖</w:t>
      </w:r>
      <w:r>
        <w:rPr>
          <w:rFonts w:hint="default"/>
        </w:rPr>
        <w:t>的所有证明材料，证明材料</w:t>
      </w:r>
      <w:r>
        <w:t>显示明确的获奖</w:t>
      </w:r>
      <w:r>
        <w:rPr>
          <w:rFonts w:hint="default"/>
        </w:rPr>
        <w:t>时间、</w:t>
      </w:r>
      <w:r>
        <w:t>奖项名称、作者排序位次</w:t>
      </w:r>
      <w:r>
        <w:rPr>
          <w:rFonts w:hint="default"/>
        </w:rPr>
        <w:t>等基本信息。申请人向评审</w:t>
      </w:r>
      <w:r>
        <w:t>小</w:t>
      </w:r>
      <w:r>
        <w:rPr>
          <w:rFonts w:hint="default"/>
        </w:rPr>
        <w:t>组提交证明材料复印件时，须出具</w:t>
      </w:r>
      <w:r>
        <w:t>奖状</w:t>
      </w:r>
      <w:r>
        <w:rPr>
          <w:rFonts w:hint="default"/>
        </w:rPr>
        <w:t>原件。</w:t>
      </w:r>
      <w:r>
        <w:t>如主办方只颁发电子奖状或只是网络公告，应该打印相应的电子邮件或</w:t>
      </w:r>
      <w:r>
        <w:rPr>
          <w:rFonts w:hint="eastAsia"/>
          <w:lang w:eastAsia="zh-CN"/>
        </w:rPr>
        <w:t>官方</w:t>
      </w:r>
      <w:r>
        <w:t>网络页面，并由指导教师签名确认</w:t>
      </w:r>
      <w:r>
        <w:rPr>
          <w:rFonts w:hint="eastAsia"/>
          <w:lang w:eastAsia="zh-CN"/>
        </w:rPr>
        <w:t>，并承诺该成果只使用一次。</w:t>
      </w:r>
    </w:p>
    <w:p w14:paraId="785B00EE">
      <w:pPr>
        <w:ind w:firstLine="482"/>
        <w:jc w:val="center"/>
        <w:outlineLvl w:val="0"/>
      </w:pPr>
      <w:r>
        <w:rPr>
          <w:rFonts w:hint="eastAsia"/>
          <w:b/>
          <w:bCs/>
        </w:rPr>
        <w:t>第五章  专利和软件著作权的加分级别确定方法</w:t>
      </w:r>
    </w:p>
    <w:p w14:paraId="3D4E5807">
      <w:pPr>
        <w:pStyle w:val="11"/>
        <w:ind w:left="960" w:hanging="960"/>
        <w:rPr>
          <w:rFonts w:hint="default"/>
        </w:rPr>
      </w:pPr>
      <w:r>
        <w:rPr>
          <w:rFonts w:hint="default"/>
        </w:rPr>
        <w:t>专利和软件著作权</w:t>
      </w:r>
      <w:r>
        <w:t>加分级别的确定方法，如表4所示：</w:t>
      </w:r>
    </w:p>
    <w:p w14:paraId="6EB72561">
      <w:pPr>
        <w:ind w:firstLine="480"/>
        <w:jc w:val="center"/>
      </w:pPr>
      <w:r>
        <w:rPr>
          <w:rFonts w:hint="eastAsia"/>
        </w:rPr>
        <w:t xml:space="preserve">表4  </w:t>
      </w:r>
      <w:r>
        <w:t>专利和软件著作权</w:t>
      </w:r>
      <w:r>
        <w:rPr>
          <w:rFonts w:hint="eastAsia"/>
        </w:rPr>
        <w:t>加分级别的确定方法</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01"/>
        <w:gridCol w:w="2358"/>
        <w:gridCol w:w="1592"/>
        <w:gridCol w:w="1580"/>
      </w:tblGrid>
      <w:tr w14:paraId="22365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901" w:type="dxa"/>
            <w:vAlign w:val="center"/>
          </w:tcPr>
          <w:p w14:paraId="77E89A3A">
            <w:pPr>
              <w:spacing w:line="240" w:lineRule="auto"/>
              <w:ind w:firstLine="0" w:firstLineChars="0"/>
              <w:jc w:val="center"/>
              <w:rPr>
                <w:b/>
                <w:bCs/>
              </w:rPr>
            </w:pPr>
            <w:r>
              <w:rPr>
                <w:rFonts w:hint="eastAsia"/>
                <w:b/>
                <w:bCs/>
              </w:rPr>
              <w:t>所属流程</w:t>
            </w:r>
          </w:p>
        </w:tc>
        <w:tc>
          <w:tcPr>
            <w:tcW w:w="2358" w:type="dxa"/>
            <w:vAlign w:val="center"/>
          </w:tcPr>
          <w:p w14:paraId="40759547">
            <w:pPr>
              <w:spacing w:line="240" w:lineRule="auto"/>
              <w:ind w:firstLine="0" w:firstLineChars="0"/>
              <w:jc w:val="center"/>
              <w:rPr>
                <w:b/>
                <w:bCs/>
              </w:rPr>
            </w:pPr>
            <w:r>
              <w:rPr>
                <w:rFonts w:hint="eastAsia"/>
                <w:b/>
                <w:bCs/>
              </w:rPr>
              <w:t>专利类型</w:t>
            </w:r>
          </w:p>
        </w:tc>
        <w:tc>
          <w:tcPr>
            <w:tcW w:w="1592" w:type="dxa"/>
            <w:vAlign w:val="center"/>
          </w:tcPr>
          <w:p w14:paraId="4DCC5EE5">
            <w:pPr>
              <w:spacing w:line="240" w:lineRule="auto"/>
              <w:ind w:firstLine="0" w:firstLineChars="0"/>
              <w:jc w:val="center"/>
              <w:rPr>
                <w:b/>
                <w:bCs/>
              </w:rPr>
            </w:pPr>
            <w:r>
              <w:rPr>
                <w:rFonts w:hint="eastAsia"/>
                <w:b/>
                <w:bCs/>
              </w:rPr>
              <w:t>赋分</w:t>
            </w:r>
          </w:p>
        </w:tc>
        <w:tc>
          <w:tcPr>
            <w:tcW w:w="1580" w:type="dxa"/>
            <w:vAlign w:val="center"/>
          </w:tcPr>
          <w:p w14:paraId="0740B4EE">
            <w:pPr>
              <w:spacing w:line="240" w:lineRule="auto"/>
              <w:ind w:firstLine="0" w:firstLineChars="0"/>
              <w:jc w:val="center"/>
              <w:rPr>
                <w:b/>
                <w:bCs/>
              </w:rPr>
            </w:pPr>
            <w:r>
              <w:rPr>
                <w:rFonts w:hint="eastAsia"/>
                <w:b/>
                <w:bCs/>
              </w:rPr>
              <w:t>备注</w:t>
            </w:r>
          </w:p>
        </w:tc>
      </w:tr>
      <w:tr w14:paraId="35573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4" w:hRule="atLeast"/>
          <w:jc w:val="center"/>
        </w:trPr>
        <w:tc>
          <w:tcPr>
            <w:tcW w:w="1901" w:type="dxa"/>
            <w:vAlign w:val="center"/>
          </w:tcPr>
          <w:p w14:paraId="549E961D">
            <w:pPr>
              <w:spacing w:line="240" w:lineRule="auto"/>
              <w:ind w:firstLine="0" w:firstLineChars="0"/>
              <w:jc w:val="center"/>
            </w:pPr>
            <w:r>
              <w:t>接受申请</w:t>
            </w:r>
          </w:p>
        </w:tc>
        <w:tc>
          <w:tcPr>
            <w:tcW w:w="2358" w:type="dxa"/>
            <w:vAlign w:val="center"/>
          </w:tcPr>
          <w:p w14:paraId="2686ED0E">
            <w:pPr>
              <w:spacing w:line="240" w:lineRule="auto"/>
              <w:ind w:firstLine="0" w:firstLineChars="0"/>
            </w:pPr>
            <w:r>
              <w:t>发明专利</w:t>
            </w:r>
          </w:p>
        </w:tc>
        <w:tc>
          <w:tcPr>
            <w:tcW w:w="1592" w:type="dxa"/>
            <w:vAlign w:val="center"/>
          </w:tcPr>
          <w:p w14:paraId="25B72081">
            <w:pPr>
              <w:spacing w:line="240" w:lineRule="auto"/>
              <w:ind w:firstLine="0" w:firstLineChars="0"/>
              <w:jc w:val="center"/>
            </w:pPr>
            <w:r>
              <w:t>4</w:t>
            </w:r>
          </w:p>
        </w:tc>
        <w:tc>
          <w:tcPr>
            <w:tcW w:w="1580" w:type="dxa"/>
            <w:vAlign w:val="center"/>
          </w:tcPr>
          <w:p w14:paraId="4D53FD3E">
            <w:pPr>
              <w:spacing w:line="240" w:lineRule="auto"/>
              <w:ind w:firstLine="0" w:firstLineChars="0"/>
              <w:jc w:val="center"/>
              <w:rPr>
                <w:color w:val="auto"/>
              </w:rPr>
            </w:pPr>
            <w:r>
              <w:rPr>
                <w:color w:val="auto"/>
              </w:rPr>
              <w:t>限</w:t>
            </w:r>
            <w:r>
              <w:rPr>
                <w:rFonts w:hint="eastAsia"/>
                <w:color w:val="auto"/>
              </w:rPr>
              <w:t>1</w:t>
            </w:r>
            <w:r>
              <w:rPr>
                <w:color w:val="auto"/>
              </w:rPr>
              <w:t>项</w:t>
            </w:r>
          </w:p>
        </w:tc>
      </w:tr>
      <w:tr w14:paraId="3452D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901" w:type="dxa"/>
            <w:vMerge w:val="restart"/>
            <w:vAlign w:val="center"/>
          </w:tcPr>
          <w:p w14:paraId="328303EA">
            <w:pPr>
              <w:spacing w:line="240" w:lineRule="auto"/>
              <w:ind w:firstLine="0" w:firstLineChars="0"/>
              <w:jc w:val="center"/>
            </w:pPr>
            <w:r>
              <w:t>已授权</w:t>
            </w:r>
          </w:p>
        </w:tc>
        <w:tc>
          <w:tcPr>
            <w:tcW w:w="2358" w:type="dxa"/>
            <w:vAlign w:val="center"/>
          </w:tcPr>
          <w:p w14:paraId="3D57D49E">
            <w:pPr>
              <w:spacing w:line="240" w:lineRule="auto"/>
              <w:ind w:firstLine="0" w:firstLineChars="0"/>
            </w:pPr>
            <w:r>
              <w:t>发明专利</w:t>
            </w:r>
          </w:p>
        </w:tc>
        <w:tc>
          <w:tcPr>
            <w:tcW w:w="1592" w:type="dxa"/>
            <w:vAlign w:val="center"/>
          </w:tcPr>
          <w:p w14:paraId="52D188AD">
            <w:pPr>
              <w:spacing w:line="240" w:lineRule="auto"/>
              <w:ind w:firstLine="0" w:firstLineChars="0"/>
              <w:jc w:val="center"/>
            </w:pPr>
            <w:r>
              <w:t>8</w:t>
            </w:r>
          </w:p>
        </w:tc>
        <w:tc>
          <w:tcPr>
            <w:tcW w:w="1580" w:type="dxa"/>
            <w:vAlign w:val="center"/>
          </w:tcPr>
          <w:p w14:paraId="6BBB72B9">
            <w:pPr>
              <w:spacing w:line="240" w:lineRule="auto"/>
              <w:ind w:firstLine="0" w:firstLineChars="0"/>
              <w:jc w:val="center"/>
              <w:rPr>
                <w:color w:val="auto"/>
              </w:rPr>
            </w:pPr>
            <w:r>
              <w:rPr>
                <w:rFonts w:hint="eastAsia"/>
                <w:color w:val="auto"/>
              </w:rPr>
              <w:t>不限</w:t>
            </w:r>
          </w:p>
        </w:tc>
      </w:tr>
      <w:tr w14:paraId="4AB03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901" w:type="dxa"/>
            <w:vMerge w:val="continue"/>
          </w:tcPr>
          <w:p w14:paraId="4A6015ED">
            <w:pPr>
              <w:spacing w:line="240" w:lineRule="auto"/>
              <w:ind w:firstLine="0" w:firstLineChars="0"/>
            </w:pPr>
          </w:p>
        </w:tc>
        <w:tc>
          <w:tcPr>
            <w:tcW w:w="2358" w:type="dxa"/>
            <w:vAlign w:val="center"/>
          </w:tcPr>
          <w:p w14:paraId="39196D42">
            <w:pPr>
              <w:spacing w:line="240" w:lineRule="auto"/>
              <w:ind w:firstLine="0" w:firstLineChars="0"/>
            </w:pPr>
            <w:r>
              <w:t>实用新型专利</w:t>
            </w:r>
          </w:p>
        </w:tc>
        <w:tc>
          <w:tcPr>
            <w:tcW w:w="1592" w:type="dxa"/>
            <w:vAlign w:val="center"/>
          </w:tcPr>
          <w:p w14:paraId="2C254B3E">
            <w:pPr>
              <w:spacing w:line="240" w:lineRule="auto"/>
              <w:ind w:firstLine="0" w:firstLineChars="0"/>
              <w:jc w:val="center"/>
            </w:pPr>
            <w:r>
              <w:t>4</w:t>
            </w:r>
          </w:p>
        </w:tc>
        <w:tc>
          <w:tcPr>
            <w:tcW w:w="1580" w:type="dxa"/>
          </w:tcPr>
          <w:p w14:paraId="2BDFBF44">
            <w:pPr>
              <w:spacing w:line="240" w:lineRule="auto"/>
              <w:ind w:firstLine="0" w:firstLineChars="0"/>
              <w:jc w:val="center"/>
              <w:rPr>
                <w:color w:val="auto"/>
              </w:rPr>
            </w:pPr>
            <w:r>
              <w:rPr>
                <w:color w:val="auto"/>
              </w:rPr>
              <w:t>限</w:t>
            </w:r>
            <w:r>
              <w:rPr>
                <w:rFonts w:hint="eastAsia"/>
                <w:color w:val="auto"/>
              </w:rPr>
              <w:t>2</w:t>
            </w:r>
            <w:r>
              <w:rPr>
                <w:color w:val="auto"/>
              </w:rPr>
              <w:t>项</w:t>
            </w:r>
          </w:p>
        </w:tc>
      </w:tr>
      <w:tr w14:paraId="1463E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901" w:type="dxa"/>
            <w:vMerge w:val="continue"/>
          </w:tcPr>
          <w:p w14:paraId="3C884338">
            <w:pPr>
              <w:spacing w:line="240" w:lineRule="auto"/>
              <w:ind w:firstLine="0" w:firstLineChars="0"/>
            </w:pPr>
          </w:p>
        </w:tc>
        <w:tc>
          <w:tcPr>
            <w:tcW w:w="2358" w:type="dxa"/>
            <w:vAlign w:val="center"/>
          </w:tcPr>
          <w:p w14:paraId="72D832CF">
            <w:pPr>
              <w:spacing w:line="240" w:lineRule="auto"/>
              <w:ind w:firstLine="0" w:firstLineChars="0"/>
            </w:pPr>
            <w:r>
              <w:t>软件著作权</w:t>
            </w:r>
          </w:p>
        </w:tc>
        <w:tc>
          <w:tcPr>
            <w:tcW w:w="1592" w:type="dxa"/>
            <w:vAlign w:val="center"/>
          </w:tcPr>
          <w:p w14:paraId="7DDD9F56">
            <w:pPr>
              <w:spacing w:line="240" w:lineRule="auto"/>
              <w:ind w:firstLine="0" w:firstLineChars="0"/>
              <w:jc w:val="center"/>
            </w:pPr>
            <w:r>
              <w:rPr>
                <w:rFonts w:hint="eastAsia"/>
              </w:rPr>
              <w:t>2</w:t>
            </w:r>
          </w:p>
        </w:tc>
        <w:tc>
          <w:tcPr>
            <w:tcW w:w="1580" w:type="dxa"/>
          </w:tcPr>
          <w:p w14:paraId="7BF192E7">
            <w:pPr>
              <w:spacing w:line="240" w:lineRule="auto"/>
              <w:ind w:firstLine="0" w:firstLineChars="0"/>
              <w:jc w:val="center"/>
              <w:rPr>
                <w:color w:val="auto"/>
              </w:rPr>
            </w:pPr>
            <w:r>
              <w:rPr>
                <w:color w:val="auto"/>
              </w:rPr>
              <w:t>限</w:t>
            </w:r>
            <w:r>
              <w:rPr>
                <w:rFonts w:hint="eastAsia"/>
                <w:color w:val="auto"/>
              </w:rPr>
              <w:t>2</w:t>
            </w:r>
            <w:r>
              <w:rPr>
                <w:color w:val="auto"/>
              </w:rPr>
              <w:t>项</w:t>
            </w:r>
          </w:p>
        </w:tc>
      </w:tr>
    </w:tbl>
    <w:p w14:paraId="54D7D073">
      <w:pPr>
        <w:ind w:firstLine="480"/>
      </w:pPr>
    </w:p>
    <w:p w14:paraId="513997D5">
      <w:pPr>
        <w:pStyle w:val="11"/>
        <w:ind w:left="960" w:hanging="960"/>
        <w:rPr>
          <w:rFonts w:hint="default"/>
        </w:rPr>
      </w:pPr>
      <w:r>
        <w:rPr>
          <w:rFonts w:hint="default"/>
        </w:rPr>
        <w:t>一项</w:t>
      </w:r>
      <w:r>
        <w:t>发明</w:t>
      </w:r>
      <w:r>
        <w:rPr>
          <w:rFonts w:hint="default"/>
        </w:rPr>
        <w:t>专利</w:t>
      </w:r>
      <w:r>
        <w:t>可</w:t>
      </w:r>
      <w:r>
        <w:rPr>
          <w:rFonts w:hint="default"/>
        </w:rPr>
        <w:t>分年度对“接受申请”和“已授权”分别加分。</w:t>
      </w:r>
    </w:p>
    <w:p w14:paraId="1C7615A5">
      <w:pPr>
        <w:pStyle w:val="11"/>
        <w:ind w:left="960" w:hanging="960"/>
        <w:rPr>
          <w:rFonts w:hint="default"/>
          <w:color w:val="auto"/>
        </w:rPr>
      </w:pPr>
      <w:r>
        <w:rPr>
          <w:rFonts w:hint="eastAsia"/>
          <w:color w:val="auto"/>
          <w:lang w:eastAsia="zh-CN"/>
        </w:rPr>
        <w:t>已授权阶段，发明专利、实用新型专利、计算机软件著作权登记证明材料的形成时间以证书的盖章落款日期为准。接受申请阶段，发明专利的证明材料形成时间以专利申请受理通知书的发文日为准。</w:t>
      </w:r>
    </w:p>
    <w:p w14:paraId="573FEFC5">
      <w:pPr>
        <w:pStyle w:val="11"/>
        <w:ind w:left="960" w:hanging="960"/>
        <w:rPr>
          <w:rFonts w:hint="default"/>
        </w:rPr>
      </w:pPr>
      <w:r>
        <w:rPr>
          <w:rFonts w:hint="default"/>
        </w:rPr>
        <w:t>申请人必须在规定时间内，向评审</w:t>
      </w:r>
      <w:r>
        <w:t>小</w:t>
      </w:r>
      <w:r>
        <w:rPr>
          <w:rFonts w:hint="default"/>
        </w:rPr>
        <w:t>组提交所有证明材料，证明材料得有纸质</w:t>
      </w:r>
      <w:r>
        <w:t>证书</w:t>
      </w:r>
      <w:r>
        <w:rPr>
          <w:rFonts w:hint="default"/>
        </w:rPr>
        <w:t>，显示明确的</w:t>
      </w:r>
      <w:r>
        <w:t>证书</w:t>
      </w:r>
      <w:r>
        <w:rPr>
          <w:rFonts w:hint="default"/>
        </w:rPr>
        <w:t>时间、</w:t>
      </w:r>
      <w:r>
        <w:t>专利类型、作者排序位次</w:t>
      </w:r>
      <w:r>
        <w:rPr>
          <w:rFonts w:hint="default"/>
        </w:rPr>
        <w:t>等基本信息。申请人向评审</w:t>
      </w:r>
      <w:r>
        <w:t>小</w:t>
      </w:r>
      <w:r>
        <w:rPr>
          <w:rFonts w:hint="default"/>
        </w:rPr>
        <w:t>组提交证明材料复印件时，须出具</w:t>
      </w:r>
      <w:r>
        <w:t>证书</w:t>
      </w:r>
      <w:r>
        <w:rPr>
          <w:rFonts w:hint="default"/>
        </w:rPr>
        <w:t>原件。</w:t>
      </w:r>
    </w:p>
    <w:p w14:paraId="0BD8F812">
      <w:pPr>
        <w:ind w:firstLine="480"/>
      </w:pPr>
    </w:p>
    <w:p w14:paraId="3C717990">
      <w:pPr>
        <w:ind w:firstLine="482"/>
        <w:jc w:val="center"/>
        <w:outlineLvl w:val="0"/>
        <w:rPr>
          <w:b/>
          <w:bCs/>
        </w:rPr>
      </w:pPr>
      <w:r>
        <w:rPr>
          <w:rFonts w:hint="eastAsia"/>
          <w:b/>
          <w:bCs/>
        </w:rPr>
        <w:t>第六章  科研业绩加分比例的确定方法</w:t>
      </w:r>
    </w:p>
    <w:p w14:paraId="41029B01">
      <w:pPr>
        <w:pStyle w:val="11"/>
        <w:bidi w:val="0"/>
        <w:rPr>
          <w:rFonts w:hint="default"/>
        </w:rPr>
      </w:pPr>
      <w:r>
        <w:t>作者构成情况会影响科研业绩的加分比例。</w:t>
      </w:r>
      <w:r>
        <w:rPr>
          <w:rFonts w:hint="eastAsia"/>
          <w:lang w:eastAsia="zh-CN"/>
        </w:rPr>
        <w:t>作者简介信息显示不属于华南理工大学时</w:t>
      </w:r>
      <w:r>
        <w:t>，该成果</w:t>
      </w:r>
      <w:r>
        <w:rPr>
          <w:rFonts w:hint="eastAsia"/>
          <w:lang w:eastAsia="zh-CN"/>
        </w:rPr>
        <w:t>原则上</w:t>
      </w:r>
      <w:r>
        <w:t>不纳入加分范畴</w:t>
      </w:r>
      <w:r>
        <w:rPr>
          <w:rFonts w:hint="eastAsia"/>
          <w:lang w:eastAsia="zh-CN"/>
        </w:rPr>
        <w:t>；</w:t>
      </w:r>
      <w:r>
        <w:t>第一作者或</w:t>
      </w:r>
      <w:r>
        <w:rPr>
          <w:rFonts w:hint="eastAsia"/>
          <w:lang w:eastAsia="zh-CN"/>
        </w:rPr>
        <w:t>成果第一署名单位</w:t>
      </w:r>
      <w:r>
        <w:t>不属于华南理工大学时，该成果</w:t>
      </w:r>
      <w:r>
        <w:rPr>
          <w:rFonts w:hint="eastAsia"/>
          <w:lang w:eastAsia="zh-CN"/>
        </w:rPr>
        <w:t>原则上</w:t>
      </w:r>
      <w:r>
        <w:t>不纳入加分范畴。科研业绩加分比例的确定方法如表5所示。</w:t>
      </w:r>
    </w:p>
    <w:p w14:paraId="57673F08">
      <w:pPr>
        <w:pStyle w:val="11"/>
        <w:bidi w:val="0"/>
        <w:rPr>
          <w:rFonts w:hint="default"/>
        </w:rPr>
      </w:pPr>
      <w:r>
        <w:t>论文发表、论文竞赛获奖、专利成果，按“作者排序位次”和“作者身份属性”确定加分比例。所属成果作者只有导师和学生或者学生是独立作者时，该学生申请人算原始满分；所属成果除去导师后有多名学生或其他作者</w:t>
      </w:r>
      <w:r>
        <w:rPr>
          <w:rFonts w:hint="eastAsia"/>
          <w:lang w:eastAsia="zh-CN"/>
        </w:rPr>
        <w:t>时</w:t>
      </w:r>
      <w:r>
        <w:t>，“作者排序位次”排名前二</w:t>
      </w:r>
      <w:r>
        <w:rPr>
          <w:rFonts w:hint="eastAsia"/>
          <w:lang w:eastAsia="zh-CN"/>
        </w:rPr>
        <w:t>的硕士生</w:t>
      </w:r>
      <w:r>
        <w:t>可以算分，排名第一算原始分的</w:t>
      </w:r>
      <w:r>
        <w:rPr>
          <w:rFonts w:hint="eastAsia"/>
          <w:lang w:val="en-US" w:eastAsia="zh-CN"/>
        </w:rPr>
        <w:t>70</w:t>
      </w:r>
      <w:r>
        <w:t>%，排名第二算原始分</w:t>
      </w:r>
      <w:r>
        <w:rPr>
          <w:rFonts w:hint="eastAsia"/>
          <w:lang w:eastAsia="zh-CN"/>
        </w:rPr>
        <w:t>的</w:t>
      </w:r>
      <w:r>
        <w:t>3</w:t>
      </w:r>
      <w:r>
        <w:rPr>
          <w:rFonts w:hint="eastAsia"/>
          <w:lang w:val="en-US" w:eastAsia="zh-CN"/>
        </w:rPr>
        <w:t>0</w:t>
      </w:r>
      <w:r>
        <w:t>%</w:t>
      </w:r>
      <w:r>
        <w:rPr>
          <w:rFonts w:hint="eastAsia"/>
          <w:lang w:eastAsia="zh-CN"/>
        </w:rPr>
        <w:t>；</w:t>
      </w:r>
      <w:r>
        <w:t>所属成果除去导师后有多名学生或其他作者</w:t>
      </w:r>
      <w:r>
        <w:rPr>
          <w:rFonts w:hint="eastAsia"/>
          <w:lang w:eastAsia="zh-CN"/>
        </w:rPr>
        <w:t>时</w:t>
      </w:r>
      <w:r>
        <w:t>，</w:t>
      </w:r>
      <w:r>
        <w:rPr>
          <w:rFonts w:hint="eastAsia"/>
          <w:lang w:eastAsia="zh-CN"/>
        </w:rPr>
        <w:t>“作者排序位次”排名前一的博士生可以算分，排名第一算原始分的</w:t>
      </w:r>
      <w:r>
        <w:rPr>
          <w:rFonts w:hint="eastAsia"/>
          <w:lang w:val="en-US" w:eastAsia="zh-CN"/>
        </w:rPr>
        <w:t>70</w:t>
      </w:r>
      <w:r>
        <w:rPr>
          <w:rFonts w:hint="eastAsia"/>
          <w:lang w:eastAsia="zh-CN"/>
        </w:rPr>
        <w:t>%，排名第二及其以后不加分</w:t>
      </w:r>
      <w:r>
        <w:t>。</w:t>
      </w:r>
    </w:p>
    <w:p w14:paraId="395E4D92">
      <w:pPr>
        <w:pStyle w:val="11"/>
        <w:ind w:left="960" w:hanging="960"/>
        <w:rPr>
          <w:rFonts w:hint="default"/>
        </w:rPr>
      </w:pPr>
      <w:r>
        <w:rPr>
          <w:rFonts w:hint="default"/>
        </w:rPr>
        <w:t>学科竞赛获奖按“团队人数总数”定加分比例。一般情况，加分比例等于</w:t>
      </w:r>
      <w:r>
        <w:rPr>
          <w:rFonts w:hint="eastAsia"/>
          <w:lang w:val="en-US" w:eastAsia="zh-CN"/>
        </w:rPr>
        <w:t>1除以团队总人数（四舍五入保留小数点后一位），即团队成员的最终分值等于</w:t>
      </w:r>
      <w:r>
        <w:rPr>
          <w:rFonts w:hint="eastAsia"/>
          <w:lang w:eastAsia="zh-CN"/>
        </w:rPr>
        <w:t>原始分的</w:t>
      </w:r>
      <w:r>
        <w:rPr>
          <w:rFonts w:hint="default"/>
        </w:rPr>
        <w:t>平均分。</w:t>
      </w:r>
    </w:p>
    <w:p w14:paraId="467996B8">
      <w:pPr>
        <w:ind w:firstLine="482"/>
        <w:jc w:val="center"/>
        <w:rPr>
          <w:rFonts w:hint="eastAsia"/>
          <w:b/>
          <w:bCs/>
          <w:color w:val="auto"/>
        </w:rPr>
      </w:pPr>
      <w:r>
        <w:rPr>
          <w:rFonts w:hint="eastAsia"/>
          <w:b/>
          <w:bCs/>
          <w:color w:val="auto"/>
        </w:rPr>
        <w:t xml:space="preserve">表5  </w:t>
      </w:r>
      <w:r>
        <w:rPr>
          <w:rFonts w:hint="eastAsia"/>
          <w:b/>
          <w:bCs/>
          <w:color w:val="auto"/>
          <w:lang w:eastAsia="zh-CN"/>
        </w:rPr>
        <w:t>研究生</w:t>
      </w:r>
      <w:r>
        <w:rPr>
          <w:rFonts w:hint="eastAsia"/>
          <w:b/>
          <w:bCs/>
          <w:color w:val="auto"/>
        </w:rPr>
        <w:t>科研业绩加分比例的确定方法</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4"/>
        <w:gridCol w:w="1607"/>
        <w:gridCol w:w="892"/>
        <w:gridCol w:w="1230"/>
        <w:gridCol w:w="3053"/>
      </w:tblGrid>
      <w:tr w14:paraId="2267F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4" w:type="dxa"/>
          </w:tcPr>
          <w:p w14:paraId="61954424">
            <w:pPr>
              <w:pStyle w:val="11"/>
              <w:numPr>
                <w:ilvl w:val="0"/>
                <w:numId w:val="0"/>
              </w:numPr>
              <w:jc w:val="center"/>
              <w:rPr>
                <w:rFonts w:hint="default"/>
                <w:b/>
                <w:bCs w:val="0"/>
                <w:color w:val="000000" w:themeColor="text1"/>
                <w14:textFill>
                  <w14:solidFill>
                    <w14:schemeClr w14:val="tx1"/>
                  </w14:solidFill>
                </w14:textFill>
              </w:rPr>
            </w:pPr>
            <w:bookmarkStart w:id="0" w:name="_Hlk109982364"/>
            <w:r>
              <w:rPr>
                <w:b/>
                <w:bCs w:val="0"/>
                <w:color w:val="000000" w:themeColor="text1"/>
                <w14:textFill>
                  <w14:solidFill>
                    <w14:schemeClr w14:val="tx1"/>
                  </w14:solidFill>
                </w14:textFill>
              </w:rPr>
              <w:t>科研业绩</w:t>
            </w:r>
          </w:p>
        </w:tc>
        <w:tc>
          <w:tcPr>
            <w:tcW w:w="3729" w:type="dxa"/>
            <w:gridSpan w:val="3"/>
          </w:tcPr>
          <w:p w14:paraId="372C1977">
            <w:pPr>
              <w:pStyle w:val="11"/>
              <w:numPr>
                <w:ilvl w:val="0"/>
                <w:numId w:val="0"/>
              </w:numPr>
              <w:jc w:val="center"/>
              <w:rPr>
                <w:rFonts w:hint="default"/>
                <w:b/>
                <w:bCs w:val="0"/>
                <w:color w:val="000000" w:themeColor="text1"/>
                <w14:textFill>
                  <w14:solidFill>
                    <w14:schemeClr w14:val="tx1"/>
                  </w14:solidFill>
                </w14:textFill>
              </w:rPr>
            </w:pPr>
            <w:r>
              <w:rPr>
                <w:b/>
                <w:bCs w:val="0"/>
                <w:color w:val="000000" w:themeColor="text1"/>
                <w14:textFill>
                  <w14:solidFill>
                    <w14:schemeClr w14:val="tx1"/>
                  </w14:solidFill>
                </w14:textFill>
              </w:rPr>
              <w:t>分类</w:t>
            </w:r>
          </w:p>
        </w:tc>
        <w:tc>
          <w:tcPr>
            <w:tcW w:w="3053" w:type="dxa"/>
          </w:tcPr>
          <w:p w14:paraId="319559FD">
            <w:pPr>
              <w:pStyle w:val="11"/>
              <w:numPr>
                <w:ilvl w:val="0"/>
                <w:numId w:val="0"/>
              </w:numPr>
              <w:jc w:val="center"/>
              <w:rPr>
                <w:rFonts w:hint="default"/>
                <w:b/>
                <w:bCs w:val="0"/>
                <w:color w:val="000000" w:themeColor="text1"/>
                <w14:textFill>
                  <w14:solidFill>
                    <w14:schemeClr w14:val="tx1"/>
                  </w14:solidFill>
                </w14:textFill>
              </w:rPr>
            </w:pPr>
            <w:r>
              <w:rPr>
                <w:b/>
                <w:bCs w:val="0"/>
                <w:color w:val="000000" w:themeColor="text1"/>
                <w14:textFill>
                  <w14:solidFill>
                    <w14:schemeClr w14:val="tx1"/>
                  </w14:solidFill>
                </w14:textFill>
              </w:rPr>
              <w:t>加分比例</w:t>
            </w:r>
          </w:p>
        </w:tc>
      </w:tr>
      <w:tr w14:paraId="2D15F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1514" w:type="dxa"/>
            <w:vMerge w:val="restart"/>
          </w:tcPr>
          <w:p w14:paraId="054A8B50">
            <w:pPr>
              <w:pStyle w:val="11"/>
              <w:numPr>
                <w:ilvl w:val="0"/>
                <w:numId w:val="0"/>
              </w:numPr>
              <w:rPr>
                <w:rFonts w:hint="default"/>
                <w:color w:val="000000" w:themeColor="text1"/>
                <w14:textFill>
                  <w14:solidFill>
                    <w14:schemeClr w14:val="tx1"/>
                  </w14:solidFill>
                </w14:textFill>
              </w:rPr>
            </w:pPr>
            <w:r>
              <w:rPr>
                <w:color w:val="000000" w:themeColor="text1"/>
                <w14:textFill>
                  <w14:solidFill>
                    <w14:schemeClr w14:val="tx1"/>
                  </w14:solidFill>
                </w14:textFill>
              </w:rPr>
              <w:t>论文发表、论文竞赛获奖、专利成果</w:t>
            </w:r>
          </w:p>
        </w:tc>
        <w:tc>
          <w:tcPr>
            <w:tcW w:w="3729" w:type="dxa"/>
            <w:gridSpan w:val="3"/>
          </w:tcPr>
          <w:p w14:paraId="1BA5D364">
            <w:pPr>
              <w:pStyle w:val="11"/>
              <w:numPr>
                <w:ilvl w:val="0"/>
                <w:numId w:val="0"/>
              </w:numPr>
              <w:rPr>
                <w:color w:val="000000" w:themeColor="text1"/>
                <w14:textFill>
                  <w14:solidFill>
                    <w14:schemeClr w14:val="tx1"/>
                  </w14:solidFill>
                </w14:textFill>
              </w:rPr>
            </w:pPr>
            <w:r>
              <w:rPr>
                <w:color w:val="000000" w:themeColor="text1"/>
                <w14:textFill>
                  <w14:solidFill>
                    <w14:schemeClr w14:val="tx1"/>
                  </w14:solidFill>
                </w14:textFill>
              </w:rPr>
              <w:t>学生、学生+</w:t>
            </w:r>
            <w:r>
              <w:rPr>
                <w:rFonts w:hint="eastAsia"/>
                <w:color w:val="000000" w:themeColor="text1"/>
                <w:lang w:eastAsia="zh-CN"/>
                <w14:textFill>
                  <w14:solidFill>
                    <w14:schemeClr w14:val="tx1"/>
                  </w14:solidFill>
                </w14:textFill>
              </w:rPr>
              <w:t>本人</w:t>
            </w:r>
            <w:r>
              <w:rPr>
                <w:color w:val="000000" w:themeColor="text1"/>
                <w14:textFill>
                  <w14:solidFill>
                    <w14:schemeClr w14:val="tx1"/>
                  </w14:solidFill>
                </w14:textFill>
              </w:rPr>
              <w:t>导师、</w:t>
            </w:r>
          </w:p>
          <w:p w14:paraId="79BD20DE">
            <w:pPr>
              <w:pStyle w:val="11"/>
              <w:numPr>
                <w:ilvl w:val="0"/>
                <w:numId w:val="0"/>
              </w:numPr>
              <w:rPr>
                <w:rFonts w:hint="default"/>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本人</w:t>
            </w:r>
            <w:r>
              <w:rPr>
                <w:color w:val="000000" w:themeColor="text1"/>
                <w14:textFill>
                  <w14:solidFill>
                    <w14:schemeClr w14:val="tx1"/>
                  </w14:solidFill>
                </w14:textFill>
              </w:rPr>
              <w:t>导师＋学生</w:t>
            </w:r>
          </w:p>
        </w:tc>
        <w:tc>
          <w:tcPr>
            <w:tcW w:w="3053" w:type="dxa"/>
          </w:tcPr>
          <w:p w14:paraId="75609EBA">
            <w:pPr>
              <w:pStyle w:val="11"/>
              <w:numPr>
                <w:ilvl w:val="0"/>
                <w:numId w:val="0"/>
              </w:numPr>
              <w:rPr>
                <w:rFonts w:hint="default"/>
                <w:color w:val="000000" w:themeColor="text1"/>
                <w14:textFill>
                  <w14:solidFill>
                    <w14:schemeClr w14:val="tx1"/>
                  </w14:solidFill>
                </w14:textFill>
              </w:rPr>
            </w:pPr>
            <w:r>
              <w:rPr>
                <w:color w:val="000000" w:themeColor="text1"/>
                <w14:textFill>
                  <w14:solidFill>
                    <w14:schemeClr w14:val="tx1"/>
                  </w14:solidFill>
                </w14:textFill>
              </w:rPr>
              <w:t>100%</w:t>
            </w:r>
          </w:p>
        </w:tc>
      </w:tr>
      <w:tr w14:paraId="4B2D7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1514" w:type="dxa"/>
            <w:vMerge w:val="continue"/>
          </w:tcPr>
          <w:p w14:paraId="32346FBA">
            <w:pPr>
              <w:pStyle w:val="11"/>
              <w:numPr>
                <w:ilvl w:val="0"/>
                <w:numId w:val="0"/>
              </w:numPr>
              <w:rPr>
                <w:rFonts w:hint="default"/>
                <w:color w:val="000000" w:themeColor="text1"/>
                <w14:textFill>
                  <w14:solidFill>
                    <w14:schemeClr w14:val="tx1"/>
                  </w14:solidFill>
                </w14:textFill>
              </w:rPr>
            </w:pPr>
          </w:p>
        </w:tc>
        <w:tc>
          <w:tcPr>
            <w:tcW w:w="1607" w:type="dxa"/>
            <w:vMerge w:val="restart"/>
          </w:tcPr>
          <w:p w14:paraId="53ADFBFA">
            <w:pPr>
              <w:pStyle w:val="11"/>
              <w:numPr>
                <w:ilvl w:val="0"/>
                <w:numId w:val="0"/>
              </w:numPr>
              <w:rPr>
                <w:rFonts w:hint="default"/>
                <w:color w:val="000000" w:themeColor="text1"/>
                <w14:textFill>
                  <w14:solidFill>
                    <w14:schemeClr w14:val="tx1"/>
                  </w14:solidFill>
                </w14:textFill>
              </w:rPr>
            </w:pPr>
            <w:r>
              <w:rPr>
                <w:color w:val="000000" w:themeColor="text1"/>
                <w14:textFill>
                  <w14:solidFill>
                    <w14:schemeClr w14:val="tx1"/>
                  </w14:solidFill>
                </w14:textFill>
              </w:rPr>
              <w:t>除</w:t>
            </w:r>
            <w:r>
              <w:rPr>
                <w:rFonts w:hint="eastAsia"/>
                <w:color w:val="000000" w:themeColor="text1"/>
                <w:lang w:eastAsia="zh-CN"/>
                <w14:textFill>
                  <w14:solidFill>
                    <w14:schemeClr w14:val="tx1"/>
                  </w14:solidFill>
                </w14:textFill>
              </w:rPr>
              <w:t>本人</w:t>
            </w:r>
            <w:r>
              <w:rPr>
                <w:color w:val="000000" w:themeColor="text1"/>
                <w14:textFill>
                  <w14:solidFill>
                    <w14:schemeClr w14:val="tx1"/>
                  </w14:solidFill>
                </w14:textFill>
              </w:rPr>
              <w:t>导师外有多名作者时</w:t>
            </w:r>
          </w:p>
        </w:tc>
        <w:tc>
          <w:tcPr>
            <w:tcW w:w="2122" w:type="dxa"/>
            <w:gridSpan w:val="2"/>
          </w:tcPr>
          <w:p w14:paraId="2EACF915">
            <w:pPr>
              <w:pStyle w:val="11"/>
              <w:numPr>
                <w:ilvl w:val="0"/>
                <w:numId w:val="0"/>
              </w:numPr>
              <w:rPr>
                <w:rFonts w:hint="default"/>
                <w:color w:val="000000" w:themeColor="text1"/>
                <w14:textFill>
                  <w14:solidFill>
                    <w14:schemeClr w14:val="tx1"/>
                  </w14:solidFill>
                </w14:textFill>
              </w:rPr>
            </w:pPr>
            <w:r>
              <w:rPr>
                <w:color w:val="000000" w:themeColor="text1"/>
                <w14:textFill>
                  <w14:solidFill>
                    <w14:schemeClr w14:val="tx1"/>
                  </w14:solidFill>
                </w14:textFill>
              </w:rPr>
              <w:t>排名第一</w:t>
            </w:r>
          </w:p>
        </w:tc>
        <w:tc>
          <w:tcPr>
            <w:tcW w:w="3053" w:type="dxa"/>
          </w:tcPr>
          <w:p w14:paraId="1619E85C">
            <w:pPr>
              <w:pStyle w:val="11"/>
              <w:numPr>
                <w:ilvl w:val="0"/>
                <w:numId w:val="0"/>
              </w:numPr>
              <w:rPr>
                <w:rFonts w:hint="default"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70%</w:t>
            </w:r>
          </w:p>
        </w:tc>
      </w:tr>
      <w:tr w14:paraId="175F8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1514" w:type="dxa"/>
            <w:vMerge w:val="continue"/>
          </w:tcPr>
          <w:p w14:paraId="223D1651">
            <w:pPr>
              <w:pStyle w:val="11"/>
              <w:numPr>
                <w:ilvl w:val="0"/>
                <w:numId w:val="0"/>
              </w:numPr>
              <w:rPr>
                <w:rFonts w:hint="default"/>
                <w:color w:val="000000" w:themeColor="text1"/>
                <w14:textFill>
                  <w14:solidFill>
                    <w14:schemeClr w14:val="tx1"/>
                  </w14:solidFill>
                </w14:textFill>
              </w:rPr>
            </w:pPr>
          </w:p>
        </w:tc>
        <w:tc>
          <w:tcPr>
            <w:tcW w:w="1607" w:type="dxa"/>
            <w:vMerge w:val="continue"/>
          </w:tcPr>
          <w:p w14:paraId="79AB5311">
            <w:pPr>
              <w:pStyle w:val="11"/>
              <w:numPr>
                <w:ilvl w:val="0"/>
                <w:numId w:val="0"/>
              </w:numPr>
              <w:rPr>
                <w:rFonts w:hint="default"/>
                <w:color w:val="000000" w:themeColor="text1"/>
                <w14:textFill>
                  <w14:solidFill>
                    <w14:schemeClr w14:val="tx1"/>
                  </w14:solidFill>
                </w14:textFill>
              </w:rPr>
            </w:pPr>
          </w:p>
        </w:tc>
        <w:tc>
          <w:tcPr>
            <w:tcW w:w="892" w:type="dxa"/>
            <w:vMerge w:val="restart"/>
          </w:tcPr>
          <w:p w14:paraId="78B39FF3">
            <w:pPr>
              <w:pStyle w:val="11"/>
              <w:numPr>
                <w:ilvl w:val="0"/>
                <w:numId w:val="0"/>
              </w:numPr>
              <w:rPr>
                <w:rFonts w:hint="default"/>
                <w:color w:val="000000" w:themeColor="text1"/>
                <w14:textFill>
                  <w14:solidFill>
                    <w14:schemeClr w14:val="tx1"/>
                  </w14:solidFill>
                </w14:textFill>
              </w:rPr>
            </w:pPr>
            <w:r>
              <w:rPr>
                <w:color w:val="000000" w:themeColor="text1"/>
                <w14:textFill>
                  <w14:solidFill>
                    <w14:schemeClr w14:val="tx1"/>
                  </w14:solidFill>
                </w14:textFill>
              </w:rPr>
              <w:t>排名第二</w:t>
            </w:r>
          </w:p>
        </w:tc>
        <w:tc>
          <w:tcPr>
            <w:tcW w:w="1230" w:type="dxa"/>
          </w:tcPr>
          <w:p w14:paraId="7350C8E0">
            <w:pPr>
              <w:pStyle w:val="11"/>
              <w:numPr>
                <w:ilvl w:val="0"/>
                <w:numId w:val="0"/>
              </w:numPr>
              <w:rPr>
                <w:rFonts w:hint="eastAsia" w:eastAsia="宋体"/>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硕士生</w:t>
            </w:r>
          </w:p>
        </w:tc>
        <w:tc>
          <w:tcPr>
            <w:tcW w:w="3053" w:type="dxa"/>
          </w:tcPr>
          <w:p w14:paraId="53107F64">
            <w:pPr>
              <w:pStyle w:val="11"/>
              <w:numPr>
                <w:ilvl w:val="0"/>
                <w:numId w:val="0"/>
              </w:numPr>
              <w:rPr>
                <w:rFonts w:hint="default"/>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lang w:val="en-US" w:eastAsia="zh-CN"/>
                <w14:textFill>
                  <w14:solidFill>
                    <w14:schemeClr w14:val="tx1"/>
                  </w14:solidFill>
                </w14:textFill>
              </w:rPr>
              <w:t>0</w:t>
            </w:r>
            <w:r>
              <w:rPr>
                <w:color w:val="000000" w:themeColor="text1"/>
                <w14:textFill>
                  <w14:solidFill>
                    <w14:schemeClr w14:val="tx1"/>
                  </w14:solidFill>
                </w14:textFill>
              </w:rPr>
              <w:t>%</w:t>
            </w:r>
          </w:p>
        </w:tc>
      </w:tr>
      <w:tr w14:paraId="5D9CF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1514" w:type="dxa"/>
            <w:vMerge w:val="continue"/>
          </w:tcPr>
          <w:p w14:paraId="22BAB7E5">
            <w:pPr>
              <w:pStyle w:val="11"/>
              <w:numPr>
                <w:ilvl w:val="0"/>
                <w:numId w:val="0"/>
              </w:numPr>
              <w:rPr>
                <w:rFonts w:hint="default"/>
                <w:color w:val="000000" w:themeColor="text1"/>
                <w14:textFill>
                  <w14:solidFill>
                    <w14:schemeClr w14:val="tx1"/>
                  </w14:solidFill>
                </w14:textFill>
              </w:rPr>
            </w:pPr>
            <w:bookmarkStart w:id="1" w:name="_Hlk109982335"/>
          </w:p>
        </w:tc>
        <w:tc>
          <w:tcPr>
            <w:tcW w:w="1607" w:type="dxa"/>
            <w:vMerge w:val="continue"/>
          </w:tcPr>
          <w:p w14:paraId="32FA586B">
            <w:pPr>
              <w:pStyle w:val="11"/>
              <w:numPr>
                <w:ilvl w:val="0"/>
                <w:numId w:val="0"/>
              </w:numPr>
              <w:rPr>
                <w:rFonts w:hint="default"/>
                <w:color w:val="000000" w:themeColor="text1"/>
                <w14:textFill>
                  <w14:solidFill>
                    <w14:schemeClr w14:val="tx1"/>
                  </w14:solidFill>
                </w14:textFill>
              </w:rPr>
            </w:pPr>
          </w:p>
        </w:tc>
        <w:tc>
          <w:tcPr>
            <w:tcW w:w="892" w:type="dxa"/>
            <w:vMerge w:val="continue"/>
          </w:tcPr>
          <w:p w14:paraId="22F232D1">
            <w:pPr>
              <w:pStyle w:val="11"/>
              <w:numPr>
                <w:ilvl w:val="0"/>
                <w:numId w:val="0"/>
              </w:numPr>
              <w:rPr>
                <w:color w:val="000000" w:themeColor="text1"/>
                <w14:textFill>
                  <w14:solidFill>
                    <w14:schemeClr w14:val="tx1"/>
                  </w14:solidFill>
                </w14:textFill>
              </w:rPr>
            </w:pPr>
          </w:p>
        </w:tc>
        <w:tc>
          <w:tcPr>
            <w:tcW w:w="1230" w:type="dxa"/>
          </w:tcPr>
          <w:p w14:paraId="798F53CB">
            <w:pPr>
              <w:pStyle w:val="11"/>
              <w:numPr>
                <w:ilvl w:val="0"/>
                <w:numId w:val="0"/>
              </w:numPr>
              <w:rPr>
                <w:rFonts w:hint="eastAsia" w:eastAsia="宋体"/>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博士生</w:t>
            </w:r>
          </w:p>
        </w:tc>
        <w:tc>
          <w:tcPr>
            <w:tcW w:w="3053" w:type="dxa"/>
          </w:tcPr>
          <w:p w14:paraId="196D5796">
            <w:pPr>
              <w:pStyle w:val="11"/>
              <w:numPr>
                <w:ilvl w:val="0"/>
                <w:numId w:val="0"/>
              </w:numPr>
              <w:rPr>
                <w:rFonts w:hint="eastAsia" w:eastAsia="宋体"/>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不加分</w:t>
            </w:r>
          </w:p>
        </w:tc>
      </w:tr>
      <w:tr w14:paraId="549B2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4" w:type="dxa"/>
          </w:tcPr>
          <w:p w14:paraId="470ABE67">
            <w:pPr>
              <w:pStyle w:val="11"/>
              <w:numPr>
                <w:ilvl w:val="0"/>
                <w:numId w:val="0"/>
              </w:numPr>
              <w:rPr>
                <w:rFonts w:hint="default"/>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学科</w:t>
            </w:r>
            <w:r>
              <w:rPr>
                <w:color w:val="000000" w:themeColor="text1"/>
                <w14:textFill>
                  <w14:solidFill>
                    <w14:schemeClr w14:val="tx1"/>
                  </w14:solidFill>
                </w14:textFill>
              </w:rPr>
              <w:t>竞赛</w:t>
            </w:r>
          </w:p>
        </w:tc>
        <w:tc>
          <w:tcPr>
            <w:tcW w:w="3729" w:type="dxa"/>
            <w:gridSpan w:val="3"/>
          </w:tcPr>
          <w:p w14:paraId="37B96B85">
            <w:pPr>
              <w:pStyle w:val="11"/>
              <w:numPr>
                <w:ilvl w:val="0"/>
                <w:numId w:val="0"/>
              </w:numPr>
              <w:rPr>
                <w:rFonts w:hint="default"/>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一般情况</w:t>
            </w:r>
          </w:p>
        </w:tc>
        <w:tc>
          <w:tcPr>
            <w:tcW w:w="3053" w:type="dxa"/>
          </w:tcPr>
          <w:p w14:paraId="6EFC23F1">
            <w:pPr>
              <w:pStyle w:val="11"/>
              <w:numPr>
                <w:ilvl w:val="0"/>
                <w:numId w:val="0"/>
              </w:numPr>
              <w:rPr>
                <w:rFonts w:hint="default"/>
                <w:color w:val="000000" w:themeColor="text1"/>
                <w:highlight w:val="none"/>
                <w14:textFill>
                  <w14:solidFill>
                    <w14:schemeClr w14:val="tx1"/>
                  </w14:solidFill>
                </w14:textFill>
              </w:rPr>
            </w:pPr>
            <w:r>
              <w:rPr>
                <w:rFonts w:hint="default"/>
                <w:color w:val="000000" w:themeColor="text1"/>
                <w:highlight w:val="none"/>
                <w14:textFill>
                  <w14:solidFill>
                    <w14:schemeClr w14:val="tx1"/>
                  </w14:solidFill>
                </w14:textFill>
              </w:rPr>
              <w:t>加分比例等于1除以团队总人数（四舍五入保留小数点后一位）</w:t>
            </w:r>
          </w:p>
        </w:tc>
      </w:tr>
      <w:bookmarkEnd w:id="0"/>
      <w:bookmarkEnd w:id="1"/>
    </w:tbl>
    <w:p w14:paraId="47892923">
      <w:pPr>
        <w:ind w:left="0" w:leftChars="0" w:firstLine="0" w:firstLineChars="0"/>
      </w:pPr>
    </w:p>
    <w:p w14:paraId="1AC85516">
      <w:pPr>
        <w:ind w:firstLine="482"/>
        <w:jc w:val="center"/>
        <w:outlineLvl w:val="0"/>
      </w:pPr>
      <w:r>
        <w:rPr>
          <w:rFonts w:hint="eastAsia"/>
          <w:b/>
          <w:bCs/>
        </w:rPr>
        <w:t>第七章  附则</w:t>
      </w:r>
    </w:p>
    <w:p w14:paraId="4FC9155E">
      <w:pPr>
        <w:pStyle w:val="11"/>
        <w:ind w:left="960" w:hanging="960"/>
        <w:rPr>
          <w:rFonts w:hint="default"/>
        </w:rPr>
      </w:pPr>
      <w:r>
        <w:t>本评审办法只适用于我院研究生科研业绩的评审。</w:t>
      </w:r>
    </w:p>
    <w:p w14:paraId="3CF5B3AD">
      <w:pPr>
        <w:pStyle w:val="11"/>
        <w:ind w:left="960" w:hanging="960"/>
        <w:rPr>
          <w:rFonts w:hint="default"/>
        </w:rPr>
      </w:pPr>
      <w:r>
        <w:t>本办法由我院评审委员会负责解释。</w:t>
      </w:r>
    </w:p>
    <w:p w14:paraId="2A983B9D">
      <w:pPr>
        <w:pStyle w:val="11"/>
        <w:ind w:left="960" w:hanging="960"/>
        <w:rPr>
          <w:rFonts w:hint="default"/>
        </w:rPr>
      </w:pPr>
      <w:r>
        <w:t>本办法可根据学校最新通知做相应修改与调整。</w:t>
      </w:r>
    </w:p>
    <w:p w14:paraId="42D60E57">
      <w:pPr>
        <w:pStyle w:val="11"/>
        <w:ind w:left="960" w:hanging="960"/>
      </w:pPr>
      <w:r>
        <w:t>本办法自202</w:t>
      </w:r>
      <w:r>
        <w:rPr>
          <w:rFonts w:hint="eastAsia"/>
          <w:lang w:val="en-US" w:eastAsia="zh-CN"/>
        </w:rPr>
        <w:t>6</w:t>
      </w:r>
      <w:r>
        <w:t>年9月1日起开始实施。</w:t>
      </w:r>
    </w:p>
    <w:p w14:paraId="488DBDF7">
      <w:pPr>
        <w:pStyle w:val="11"/>
        <w:numPr>
          <w:ilvl w:val="0"/>
          <w:numId w:val="0"/>
        </w:numPr>
        <w:ind w:leftChars="-400"/>
      </w:pPr>
    </w:p>
    <w:p w14:paraId="100C3B32">
      <w:pPr>
        <w:ind w:firstLine="5280" w:firstLineChars="2200"/>
      </w:pPr>
      <w:r>
        <w:rPr>
          <w:rFonts w:hint="eastAsia"/>
        </w:rPr>
        <w:t xml:space="preserve">华南理工大学建筑学院 </w:t>
      </w:r>
    </w:p>
    <w:p w14:paraId="45F392A2">
      <w:pPr>
        <w:ind w:left="720" w:leftChars="300" w:firstLine="0" w:firstLineChars="0"/>
      </w:pPr>
      <w:r>
        <w:rPr>
          <w:rFonts w:hint="eastAsia"/>
        </w:rPr>
        <w:t xml:space="preserve">                                          2</w:t>
      </w:r>
      <w:r>
        <w:t>02</w:t>
      </w:r>
      <w:r>
        <w:rPr>
          <w:rFonts w:hint="eastAsia"/>
          <w:lang w:val="en-US" w:eastAsia="zh-CN"/>
        </w:rPr>
        <w:t>6</w:t>
      </w:r>
      <w:r>
        <w:rPr>
          <w:rFonts w:hint="eastAsia"/>
        </w:rPr>
        <w:t>年</w:t>
      </w:r>
      <w:r>
        <w:rPr>
          <w:rFonts w:hint="eastAsia"/>
          <w:lang w:val="en-US" w:eastAsia="zh-CN"/>
        </w:rPr>
        <w:t>9</w:t>
      </w:r>
      <w:r>
        <w:rPr>
          <w:rFonts w:hint="eastAsia"/>
        </w:rPr>
        <w:t>月</w:t>
      </w: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94EB43">
    <w:pPr>
      <w:pStyle w:val="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5DA887">
    <w:pPr>
      <w:pStyle w:val="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25E7BE">
    <w:pPr>
      <w:pStyle w:val="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99E35E">
    <w:pPr>
      <w:pStyle w:val="5"/>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20F112">
    <w:pPr>
      <w:pStyle w:val="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20C1D0">
    <w:pPr>
      <w:pStyle w:val="5"/>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6EA98DB"/>
    <w:multiLevelType w:val="singleLevel"/>
    <w:tmpl w:val="76EA98DB"/>
    <w:lvl w:ilvl="0" w:tentative="0">
      <w:start w:val="1"/>
      <w:numFmt w:val="chineseCounting"/>
      <w:pStyle w:val="11"/>
      <w:suff w:val="nothing"/>
      <w:lvlText w:val="第%1条 "/>
      <w:lvlJc w:val="left"/>
      <w:pPr>
        <w:ind w:left="0" w:firstLine="397"/>
      </w:pPr>
      <w:rPr>
        <w:rFonts w:hint="eastAsia" w:ascii="楷体" w:hAnsi="楷体" w:eastAsia="楷体" w:cs="楷体"/>
        <w:b/>
        <w:bCs/>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liNzkxMGUwYWZiNTM2ODgzOGIzOTQ5ZTM1OTU4NDkifQ=="/>
  </w:docVars>
  <w:rsids>
    <w:rsidRoot w:val="13067E33"/>
    <w:rsid w:val="00025177"/>
    <w:rsid w:val="000F1E94"/>
    <w:rsid w:val="0015583D"/>
    <w:rsid w:val="00160708"/>
    <w:rsid w:val="001979CE"/>
    <w:rsid w:val="001A1575"/>
    <w:rsid w:val="001C2A7C"/>
    <w:rsid w:val="002B3F64"/>
    <w:rsid w:val="003157CD"/>
    <w:rsid w:val="003B1B7B"/>
    <w:rsid w:val="00404D8E"/>
    <w:rsid w:val="00407C95"/>
    <w:rsid w:val="00495F83"/>
    <w:rsid w:val="004B5657"/>
    <w:rsid w:val="00526D85"/>
    <w:rsid w:val="005A1B23"/>
    <w:rsid w:val="0061526D"/>
    <w:rsid w:val="00635FDC"/>
    <w:rsid w:val="00647ABB"/>
    <w:rsid w:val="00670518"/>
    <w:rsid w:val="006D298B"/>
    <w:rsid w:val="00703908"/>
    <w:rsid w:val="007B5407"/>
    <w:rsid w:val="007D73AB"/>
    <w:rsid w:val="007F25BC"/>
    <w:rsid w:val="008056B8"/>
    <w:rsid w:val="00825BAB"/>
    <w:rsid w:val="00871474"/>
    <w:rsid w:val="00873A1A"/>
    <w:rsid w:val="00937BF4"/>
    <w:rsid w:val="00953BA5"/>
    <w:rsid w:val="009844BF"/>
    <w:rsid w:val="009F009A"/>
    <w:rsid w:val="00A40DEA"/>
    <w:rsid w:val="00A5100E"/>
    <w:rsid w:val="00AE2191"/>
    <w:rsid w:val="00B7482F"/>
    <w:rsid w:val="00BE4F66"/>
    <w:rsid w:val="00BF2C8B"/>
    <w:rsid w:val="00C426FB"/>
    <w:rsid w:val="00C96407"/>
    <w:rsid w:val="00C967E2"/>
    <w:rsid w:val="00CA4E3D"/>
    <w:rsid w:val="00DC5C48"/>
    <w:rsid w:val="00DE082B"/>
    <w:rsid w:val="00E659B8"/>
    <w:rsid w:val="00EB5CF4"/>
    <w:rsid w:val="00F45F2A"/>
    <w:rsid w:val="00FF3C17"/>
    <w:rsid w:val="0B9E444D"/>
    <w:rsid w:val="0F877DF7"/>
    <w:rsid w:val="13067E33"/>
    <w:rsid w:val="150D619F"/>
    <w:rsid w:val="15CF4110"/>
    <w:rsid w:val="18952734"/>
    <w:rsid w:val="1E170AFF"/>
    <w:rsid w:val="1EA77665"/>
    <w:rsid w:val="25D074A1"/>
    <w:rsid w:val="2B7B7408"/>
    <w:rsid w:val="2C043873"/>
    <w:rsid w:val="31BA58F2"/>
    <w:rsid w:val="328E083B"/>
    <w:rsid w:val="367F10A8"/>
    <w:rsid w:val="3918448A"/>
    <w:rsid w:val="3AC174D0"/>
    <w:rsid w:val="3E0A6935"/>
    <w:rsid w:val="42D5244C"/>
    <w:rsid w:val="43CF6D75"/>
    <w:rsid w:val="47590C4D"/>
    <w:rsid w:val="4A3D2006"/>
    <w:rsid w:val="4B4811F1"/>
    <w:rsid w:val="575A3DF8"/>
    <w:rsid w:val="590C224D"/>
    <w:rsid w:val="5C95395D"/>
    <w:rsid w:val="63666773"/>
    <w:rsid w:val="65AC2E6B"/>
    <w:rsid w:val="694A2693"/>
    <w:rsid w:val="70005256"/>
    <w:rsid w:val="7200001D"/>
    <w:rsid w:val="7DF577FF"/>
    <w:rsid w:val="7F5473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420" w:firstLineChars="200"/>
      <w:jc w:val="both"/>
    </w:pPr>
    <w:rPr>
      <w:rFonts w:ascii="Times New Roman" w:hAnsi="Times New Roman" w:eastAsia="宋体" w:cstheme="minorBidi"/>
      <w:kern w:val="2"/>
      <w:sz w:val="24"/>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qFormat/>
    <w:uiPriority w:val="0"/>
    <w:pPr>
      <w:jc w:val="left"/>
    </w:pPr>
  </w:style>
  <w:style w:type="paragraph" w:styleId="3">
    <w:name w:val="Balloon Text"/>
    <w:basedOn w:val="1"/>
    <w:link w:val="17"/>
    <w:qFormat/>
    <w:uiPriority w:val="0"/>
    <w:pPr>
      <w:spacing w:line="240" w:lineRule="auto"/>
    </w:pPr>
    <w:rPr>
      <w:sz w:val="18"/>
      <w:szCs w:val="18"/>
    </w:rPr>
  </w:style>
  <w:style w:type="paragraph" w:styleId="4">
    <w:name w:val="footer"/>
    <w:basedOn w:val="1"/>
    <w:link w:val="13"/>
    <w:qFormat/>
    <w:uiPriority w:val="0"/>
    <w:pPr>
      <w:tabs>
        <w:tab w:val="center" w:pos="4153"/>
        <w:tab w:val="right" w:pos="8306"/>
      </w:tabs>
      <w:snapToGrid w:val="0"/>
      <w:spacing w:line="240" w:lineRule="auto"/>
      <w:jc w:val="left"/>
    </w:pPr>
    <w:rPr>
      <w:sz w:val="18"/>
      <w:szCs w:val="18"/>
    </w:rPr>
  </w:style>
  <w:style w:type="paragraph" w:styleId="5">
    <w:name w:val="header"/>
    <w:basedOn w:val="1"/>
    <w:link w:val="12"/>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6">
    <w:name w:val="annotation subject"/>
    <w:basedOn w:val="2"/>
    <w:next w:val="2"/>
    <w:link w:val="16"/>
    <w:qFormat/>
    <w:uiPriority w:val="0"/>
    <w:rPr>
      <w:b/>
      <w:bCs/>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annotation reference"/>
    <w:basedOn w:val="9"/>
    <w:qFormat/>
    <w:uiPriority w:val="0"/>
    <w:rPr>
      <w:sz w:val="21"/>
      <w:szCs w:val="21"/>
    </w:rPr>
  </w:style>
  <w:style w:type="paragraph" w:customStyle="1" w:styleId="11">
    <w:name w:val="条样式"/>
    <w:basedOn w:val="1"/>
    <w:qFormat/>
    <w:uiPriority w:val="0"/>
    <w:pPr>
      <w:numPr>
        <w:ilvl w:val="0"/>
        <w:numId w:val="1"/>
      </w:numPr>
      <w:ind w:left="964" w:hanging="964" w:hangingChars="400"/>
      <w:jc w:val="left"/>
      <w:outlineLvl w:val="1"/>
    </w:pPr>
    <w:rPr>
      <w:rFonts w:hint="eastAsia"/>
      <w:bCs/>
    </w:rPr>
  </w:style>
  <w:style w:type="character" w:customStyle="1" w:styleId="12">
    <w:name w:val="页眉 Char"/>
    <w:basedOn w:val="9"/>
    <w:link w:val="5"/>
    <w:qFormat/>
    <w:uiPriority w:val="0"/>
    <w:rPr>
      <w:rFonts w:ascii="Times New Roman" w:hAnsi="Times New Roman" w:eastAsia="宋体"/>
      <w:kern w:val="2"/>
      <w:sz w:val="18"/>
      <w:szCs w:val="18"/>
    </w:rPr>
  </w:style>
  <w:style w:type="character" w:customStyle="1" w:styleId="13">
    <w:name w:val="页脚 Char"/>
    <w:basedOn w:val="9"/>
    <w:link w:val="4"/>
    <w:qFormat/>
    <w:uiPriority w:val="0"/>
    <w:rPr>
      <w:rFonts w:ascii="Times New Roman" w:hAnsi="Times New Roman" w:eastAsia="宋体"/>
      <w:kern w:val="2"/>
      <w:sz w:val="18"/>
      <w:szCs w:val="18"/>
    </w:rPr>
  </w:style>
  <w:style w:type="paragraph" w:customStyle="1" w:styleId="14">
    <w:name w:val="Revision"/>
    <w:hidden/>
    <w:semiHidden/>
    <w:qFormat/>
    <w:uiPriority w:val="99"/>
    <w:rPr>
      <w:rFonts w:ascii="Times New Roman" w:hAnsi="Times New Roman" w:eastAsia="宋体" w:cstheme="minorBidi"/>
      <w:kern w:val="2"/>
      <w:sz w:val="24"/>
      <w:szCs w:val="24"/>
      <w:lang w:val="en-US" w:eastAsia="zh-CN" w:bidi="ar-SA"/>
    </w:rPr>
  </w:style>
  <w:style w:type="character" w:customStyle="1" w:styleId="15">
    <w:name w:val="批注文字 Char"/>
    <w:basedOn w:val="9"/>
    <w:link w:val="2"/>
    <w:qFormat/>
    <w:uiPriority w:val="0"/>
    <w:rPr>
      <w:rFonts w:ascii="Times New Roman" w:hAnsi="Times New Roman" w:eastAsia="宋体"/>
      <w:kern w:val="2"/>
      <w:sz w:val="24"/>
      <w:szCs w:val="24"/>
    </w:rPr>
  </w:style>
  <w:style w:type="character" w:customStyle="1" w:styleId="16">
    <w:name w:val="批注主题 Char"/>
    <w:basedOn w:val="15"/>
    <w:link w:val="6"/>
    <w:qFormat/>
    <w:uiPriority w:val="0"/>
    <w:rPr>
      <w:rFonts w:ascii="Times New Roman" w:hAnsi="Times New Roman" w:eastAsia="宋体"/>
      <w:b/>
      <w:bCs/>
      <w:kern w:val="2"/>
      <w:sz w:val="24"/>
      <w:szCs w:val="24"/>
    </w:rPr>
  </w:style>
  <w:style w:type="character" w:customStyle="1" w:styleId="17">
    <w:name w:val="批注框文本 Char"/>
    <w:basedOn w:val="9"/>
    <w:link w:val="3"/>
    <w:qFormat/>
    <w:uiPriority w:val="0"/>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55151B-7CE2-40B9-B745-D1E33F3F5F79}">
  <ds:schemaRefs/>
</ds:datastoreItem>
</file>

<file path=docProps/app.xml><?xml version="1.0" encoding="utf-8"?>
<Properties xmlns="http://schemas.openxmlformats.org/officeDocument/2006/extended-properties" xmlns:vt="http://schemas.openxmlformats.org/officeDocument/2006/docPropsVTypes">
  <Template>Normal</Template>
  <Pages>8</Pages>
  <Words>4711</Words>
  <Characters>4864</Characters>
  <Lines>41</Lines>
  <Paragraphs>11</Paragraphs>
  <TotalTime>93</TotalTime>
  <ScaleCrop>false</ScaleCrop>
  <LinksUpToDate>false</LinksUpToDate>
  <CharactersWithSpaces>4885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2022-07-29T01:27:00Z</dcterms:created>
  <dc:creator>王登斌</dc:creator>
  <cp:lastModifiedBy>王登斌</cp:lastModifiedBy>
  <dcterms:modified xsi:type="dcterms:W3CDTF">2026-07-15T09:04:28Z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8B5326124997460B8B788B16CCDFCAC9</vt:lpwstr>
  </property>
  <property fmtid="{D5CDD505-2E9C-101B-9397-08002B2CF9AE}" pid="4" name="KSOTemplateDocerSaveRecord">
    <vt:lpwstr>eyJoZGlkIjoiODliNzkxMGUwYWZiNTM2ODgzOGIzOTQ5ZTM1OTU4NDkiLCJ1c2VySWQiOiIxOTgyNzQ3MzIifQ==</vt:lpwstr>
  </property>
</Properties>
</file>