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0"/>
        </w:tabs>
        <w:autoSpaceDE w:val="0"/>
        <w:autoSpaceDN w:val="0"/>
        <w:spacing w:line="276" w:lineRule="auto"/>
        <w:jc w:val="center"/>
        <w:rPr>
          <w:rFonts w:cs="宋体" w:asciiTheme="minorEastAsia" w:hAnsiTheme="minorEastAsia" w:eastAsiaTheme="minorEastAsia"/>
          <w:b/>
          <w:sz w:val="36"/>
          <w:szCs w:val="28"/>
          <w:lang w:eastAsia="zh-CN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sz w:val="36"/>
          <w:szCs w:val="28"/>
          <w:lang w:eastAsia="zh-CN"/>
        </w:rPr>
        <w:t>招聘简章</w:t>
      </w:r>
    </w:p>
    <w:p>
      <w:pPr>
        <w:pStyle w:val="10"/>
        <w:spacing w:line="276" w:lineRule="auto"/>
        <w:ind w:left="426" w:firstLine="0" w:firstLineChars="0"/>
        <w:rPr>
          <w:rFonts w:cs="宋体" w:asciiTheme="minorEastAsia" w:hAnsiTheme="minorEastAsia"/>
          <w:b/>
          <w:szCs w:val="28"/>
        </w:rPr>
      </w:pPr>
      <w:r>
        <w:rPr>
          <w:rFonts w:hint="eastAsia" w:cs="宋体" w:asciiTheme="minorEastAsia" w:hAnsiTheme="minorEastAsia"/>
          <w:b/>
          <w:szCs w:val="28"/>
        </w:rPr>
        <w:t>一、公司简介</w:t>
      </w:r>
    </w:p>
    <w:p>
      <w:pPr>
        <w:pStyle w:val="10"/>
        <w:spacing w:line="276" w:lineRule="auto"/>
        <w:ind w:left="426" w:firstLine="566" w:firstLineChars="236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广东腾鑫电力设计有限公司（以下简称腾鑫电力）</w:t>
      </w:r>
      <w:r>
        <w:rPr>
          <w:rFonts w:cs="宋体" w:asciiTheme="minorEastAsia" w:hAnsiTheme="minorEastAsia"/>
          <w:sz w:val="24"/>
          <w:szCs w:val="24"/>
        </w:rPr>
        <w:t>成立于201</w:t>
      </w:r>
      <w:r>
        <w:rPr>
          <w:rFonts w:hint="eastAsia" w:cs="宋体" w:asciiTheme="minorEastAsia" w:hAnsiTheme="minorEastAsia"/>
          <w:sz w:val="24"/>
          <w:szCs w:val="24"/>
        </w:rPr>
        <w:t>4</w:t>
      </w:r>
      <w:r>
        <w:rPr>
          <w:rFonts w:cs="宋体" w:asciiTheme="minorEastAsia" w:hAnsiTheme="minorEastAsia"/>
          <w:sz w:val="24"/>
          <w:szCs w:val="24"/>
        </w:rPr>
        <w:t>年，注册资金</w:t>
      </w:r>
      <w:r>
        <w:rPr>
          <w:rFonts w:hint="eastAsia" w:cs="宋体" w:asciiTheme="minorEastAsia" w:hAnsiTheme="minorEastAsia"/>
          <w:sz w:val="24"/>
          <w:szCs w:val="24"/>
        </w:rPr>
        <w:t>为</w:t>
      </w:r>
      <w:r>
        <w:rPr>
          <w:rFonts w:cs="宋体" w:asciiTheme="minorEastAsia" w:hAnsiTheme="minorEastAsia"/>
          <w:sz w:val="24"/>
          <w:szCs w:val="24"/>
        </w:rPr>
        <w:t>5000万元，是一家</w:t>
      </w:r>
      <w:r>
        <w:rPr>
          <w:rFonts w:hint="eastAsia" w:cs="宋体" w:asciiTheme="minorEastAsia" w:hAnsiTheme="minorEastAsia"/>
          <w:sz w:val="24"/>
          <w:szCs w:val="24"/>
        </w:rPr>
        <w:t>具有电力行业工程咨询乙级资信评价、国家电力行业（送电工程、变电工程）专业设计乙级、工程勘察专业类工程测量乙级、岩土工程勘察丙级</w:t>
      </w:r>
      <w:r>
        <w:rPr>
          <w:rFonts w:cs="宋体" w:asciiTheme="minorEastAsia" w:hAnsiTheme="minorEastAsia"/>
          <w:sz w:val="24"/>
          <w:szCs w:val="24"/>
        </w:rPr>
        <w:t>资质的企业</w:t>
      </w:r>
      <w:r>
        <w:rPr>
          <w:rFonts w:hint="eastAsia" w:cs="宋体" w:asciiTheme="minorEastAsia" w:hAnsiTheme="minorEastAsia"/>
          <w:sz w:val="24"/>
          <w:szCs w:val="24"/>
        </w:rPr>
        <w:t>。腾鑫电力至诚为客户提供220kV及以下电压等级的送电、变电、配电工程的项目评估、选址选线、可研报告等技术咨询；工程勘察；工程设计；工程造价等技术服务。现有员工约60人，办公面积约为890平方米。公司深扎广东省内设计市场，同时不断拓展经营规模，下设佛山、韶关等多家分公司，足迹遍布广东、湖南、海南等省份。</w:t>
      </w:r>
    </w:p>
    <w:p>
      <w:pPr>
        <w:pStyle w:val="10"/>
        <w:spacing w:line="276" w:lineRule="auto"/>
        <w:ind w:left="426" w:firstLine="0" w:firstLineChars="0"/>
        <w:rPr>
          <w:rFonts w:cs="宋体" w:asciiTheme="minorEastAsia" w:hAnsiTheme="minorEastAsia"/>
          <w:b/>
          <w:szCs w:val="28"/>
        </w:rPr>
      </w:pPr>
      <w:r>
        <w:rPr>
          <w:rFonts w:hint="eastAsia" w:cs="宋体" w:asciiTheme="minorEastAsia" w:hAnsiTheme="minorEastAsia"/>
          <w:b/>
          <w:szCs w:val="28"/>
        </w:rPr>
        <w:t>二、招聘岗位</w:t>
      </w:r>
    </w:p>
    <w:tbl>
      <w:tblPr>
        <w:tblStyle w:val="7"/>
        <w:tblpPr w:leftFromText="180" w:rightFromText="180" w:vertAnchor="text" w:horzAnchor="page" w:tblpX="2104" w:tblpY="244"/>
        <w:tblW w:w="95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66"/>
        <w:gridCol w:w="1134"/>
        <w:gridCol w:w="3201"/>
        <w:gridCol w:w="31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27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cs="宋体" w:asciiTheme="minorEastAsia" w:hAnsiTheme="minorEastAsia"/>
                <w:b/>
                <w:szCs w:val="28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cs="宋体" w:asciiTheme="minorEastAsia" w:hAnsiTheme="minorEastAsia"/>
                <w:b/>
                <w:szCs w:val="28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cs="宋体" w:asciiTheme="minorEastAsia" w:hAnsiTheme="minorEastAsia"/>
                <w:b/>
                <w:szCs w:val="28"/>
              </w:rPr>
              <w:t>薪资待遇</w:t>
            </w:r>
          </w:p>
        </w:tc>
        <w:tc>
          <w:tcPr>
            <w:tcW w:w="320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cs="宋体" w:asciiTheme="minorEastAsia" w:hAnsiTheme="minorEastAsia"/>
                <w:b/>
                <w:szCs w:val="28"/>
              </w:rPr>
              <w:t>工作内容</w:t>
            </w:r>
          </w:p>
        </w:tc>
        <w:tc>
          <w:tcPr>
            <w:tcW w:w="3135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cs="宋体" w:asciiTheme="minorEastAsia" w:hAnsiTheme="minorEastAsia"/>
                <w:b/>
                <w:szCs w:val="28"/>
              </w:rPr>
              <w:t>任职要求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27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输电线路电气设计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（电气工程及其自动化、电力系统等专业）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6-9k</w:t>
            </w:r>
          </w:p>
        </w:tc>
        <w:tc>
          <w:tcPr>
            <w:tcW w:w="320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负责35kV及以上电压等级的输电线路电气设计工作；负责设计过程中的协调，后期服务，竣工验收及设计回访相关工作；配合工程项目的投标工作</w:t>
            </w:r>
          </w:p>
        </w:tc>
        <w:tc>
          <w:tcPr>
            <w:tcW w:w="3135" w:type="dxa"/>
            <w:vMerge w:val="restart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1）具有良好的电力知识，能熟练操作电脑及CAD等专业绘图软件；</w:t>
            </w:r>
          </w:p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2）具有独立能力，工作能力、抗压能力较强；</w:t>
            </w:r>
          </w:p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3）具有良好的组织协调沟通能力、客户服务意识、语言文字表达能力和责任心；</w:t>
            </w:r>
          </w:p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4）具有应用新技术及标准设计、采用先进的设计手段，不断提高设计质量的能力；</w:t>
            </w:r>
          </w:p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5）具有团队合作精神，能接受短期出差；</w:t>
            </w:r>
          </w:p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6）</w:t>
            </w:r>
            <w:r>
              <w:rPr>
                <w:rFonts w:cs="宋体" w:asciiTheme="minorEastAsia" w:hAnsiTheme="minorEastAsia"/>
                <w:szCs w:val="28"/>
              </w:rPr>
              <w:t>持驾驶证</w:t>
            </w:r>
            <w:r>
              <w:rPr>
                <w:rFonts w:hint="eastAsia" w:cs="宋体" w:asciiTheme="minorEastAsia" w:hAnsiTheme="minorEastAsia"/>
                <w:szCs w:val="28"/>
              </w:rPr>
              <w:t>，</w:t>
            </w:r>
            <w:r>
              <w:rPr>
                <w:rFonts w:cs="宋体" w:asciiTheme="minorEastAsia" w:hAnsiTheme="minorEastAsia"/>
                <w:szCs w:val="28"/>
              </w:rPr>
              <w:t>熟练驾驶者</w:t>
            </w:r>
            <w:r>
              <w:rPr>
                <w:rFonts w:hint="eastAsia" w:cs="宋体" w:asciiTheme="minorEastAsia" w:hAnsiTheme="minorEastAsia"/>
                <w:szCs w:val="28"/>
              </w:rPr>
              <w:t>优先</w:t>
            </w:r>
            <w:r>
              <w:rPr>
                <w:rFonts w:cs="宋体" w:asciiTheme="minorEastAsia" w:hAnsiTheme="minorEastAsia"/>
                <w:szCs w:val="28"/>
              </w:rPr>
              <w:t>考虑</w:t>
            </w:r>
            <w:r>
              <w:rPr>
                <w:rFonts w:hint="eastAsia" w:cs="宋体" w:asciiTheme="minorEastAsia" w:hAnsiTheme="minorEastAsia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27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输电线路结构设计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（土木工程等相关专业）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6-9k</w:t>
            </w:r>
          </w:p>
        </w:tc>
        <w:tc>
          <w:tcPr>
            <w:tcW w:w="320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负责输电线路结构（含杆塔、基础和电缆结构）设计工作；负责设计过程中的协调，后期服务，竣工验收及设计回访相关工作；配合工程项目的投标工作。</w:t>
            </w:r>
          </w:p>
        </w:tc>
        <w:tc>
          <w:tcPr>
            <w:tcW w:w="3135" w:type="dxa"/>
            <w:vMerge w:val="continue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427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配电设计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（</w:t>
            </w:r>
            <w:r>
              <w:rPr>
                <w:rFonts w:hint="eastAsia" w:cs="宋体" w:asciiTheme="minorEastAsia" w:hAnsiTheme="minorEastAsia"/>
                <w:szCs w:val="28"/>
              </w:rPr>
              <w:t>电气工程及其自动化、电力系统等专业</w:t>
            </w:r>
            <w:r>
              <w:rPr>
                <w:rFonts w:hint="eastAsia" w:cs="宋体" w:asciiTheme="minorEastAsia" w:hAnsiTheme="minorEastAsia"/>
                <w:b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zCs w:val="28"/>
              </w:rPr>
              <w:t>6-9k</w:t>
            </w:r>
          </w:p>
        </w:tc>
        <w:tc>
          <w:tcPr>
            <w:tcW w:w="320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cs="宋体" w:asciiTheme="minorEastAsia" w:hAnsiTheme="minorEastAsia"/>
                <w:szCs w:val="28"/>
              </w:rPr>
            </w:pPr>
            <w:r>
              <w:rPr>
                <w:rFonts w:hint="eastAsia" w:cs="宋体" w:asciiTheme="minorEastAsia" w:hAnsiTheme="minorEastAsia"/>
                <w:szCs w:val="28"/>
              </w:rPr>
              <w:t>负责10KV及以下配电设计工作；负责设计过程中的协调，后期服务，竣工验收及设计回访相关工作；配合工程项目的投标工作。</w:t>
            </w:r>
          </w:p>
        </w:tc>
        <w:tc>
          <w:tcPr>
            <w:tcW w:w="3135" w:type="dxa"/>
            <w:vMerge w:val="continue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cs="宋体" w:asciiTheme="minorEastAsia" w:hAnsiTheme="minorEastAsia"/>
                <w:b/>
                <w:szCs w:val="28"/>
              </w:rPr>
            </w:pPr>
          </w:p>
        </w:tc>
      </w:tr>
    </w:tbl>
    <w:p>
      <w:pPr>
        <w:widowControl/>
        <w:spacing w:line="276" w:lineRule="auto"/>
        <w:jc w:val="left"/>
        <w:rPr>
          <w:rFonts w:cs="宋体" w:asciiTheme="minorEastAsia" w:hAnsiTheme="minorEastAsia" w:eastAsiaTheme="minorEastAsia"/>
          <w:kern w:val="2"/>
          <w:sz w:val="21"/>
          <w:szCs w:val="28"/>
          <w:lang w:eastAsia="zh-CN"/>
        </w:rPr>
      </w:pPr>
    </w:p>
    <w:p>
      <w:pPr>
        <w:pStyle w:val="10"/>
        <w:numPr>
          <w:ilvl w:val="0"/>
          <w:numId w:val="1"/>
        </w:numPr>
        <w:tabs>
          <w:tab w:val="left" w:pos="567"/>
        </w:tabs>
        <w:spacing w:line="276" w:lineRule="auto"/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公司福利</w:t>
      </w:r>
    </w:p>
    <w:p>
      <w:pPr>
        <w:widowControl/>
        <w:spacing w:line="276" w:lineRule="auto"/>
        <w:ind w:left="965" w:leftChars="402" w:firstLine="96" w:firstLineChars="40"/>
        <w:jc w:val="left"/>
        <w:rPr>
          <w:rFonts w:cs="宋体" w:asciiTheme="minorEastAsia" w:hAnsiTheme="minorEastAsia" w:eastAsiaTheme="minorEastAsia"/>
          <w:kern w:val="2"/>
          <w:lang w:eastAsia="zh-CN"/>
        </w:rPr>
      </w:pPr>
      <w:r>
        <w:rPr>
          <w:rFonts w:hint="eastAsia" w:cs="宋体" w:asciiTheme="minorEastAsia" w:hAnsiTheme="minorEastAsia" w:eastAsiaTheme="minorEastAsia"/>
          <w:kern w:val="2"/>
          <w:lang w:eastAsia="zh-CN"/>
        </w:rPr>
        <w:t xml:space="preserve">1.有住宿，包中餐；     2.节假日礼金     3.员工旅游及团建活动       4.员工体检 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276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联系方式</w:t>
      </w:r>
    </w:p>
    <w:p>
      <w:pPr>
        <w:widowControl/>
        <w:spacing w:line="276" w:lineRule="auto"/>
        <w:ind w:left="485" w:leftChars="202" w:firstLine="578" w:firstLineChars="241"/>
        <w:jc w:val="left"/>
        <w:rPr>
          <w:rFonts w:cs="宋体" w:asciiTheme="minorEastAsia" w:hAnsiTheme="minorEastAsia" w:eastAsiaTheme="minorEastAsia"/>
          <w:kern w:val="2"/>
          <w:lang w:eastAsia="zh-CN"/>
        </w:rPr>
      </w:pPr>
      <w:r>
        <w:rPr>
          <w:rFonts w:hint="eastAsia" w:cs="宋体" w:asciiTheme="minorEastAsia" w:hAnsiTheme="minorEastAsia" w:eastAsiaTheme="minorEastAsia"/>
          <w:kern w:val="2"/>
          <w:lang w:eastAsia="zh-CN"/>
        </w:rPr>
        <w:t>联系人：黄小姐               联系电话：0757-81280012</w:t>
      </w:r>
    </w:p>
    <w:p>
      <w:pPr>
        <w:widowControl/>
        <w:spacing w:line="276" w:lineRule="auto"/>
        <w:ind w:left="485" w:leftChars="202" w:firstLine="578" w:firstLineChars="241"/>
        <w:jc w:val="left"/>
        <w:rPr>
          <w:rFonts w:cs="宋体" w:asciiTheme="minorEastAsia" w:hAnsiTheme="minorEastAsia" w:eastAsiaTheme="minorEastAsia"/>
          <w:kern w:val="2"/>
          <w:lang w:eastAsia="zh-CN"/>
        </w:rPr>
      </w:pPr>
      <w:r>
        <w:rPr>
          <w:rFonts w:hint="eastAsia" w:cs="宋体" w:asciiTheme="minorEastAsia" w:hAnsiTheme="minorEastAsia" w:eastAsiaTheme="minorEastAsia"/>
          <w:kern w:val="2"/>
          <w:lang w:eastAsia="zh-CN"/>
        </w:rPr>
        <w:t>简历接收邮箱：</w:t>
      </w:r>
      <w:r>
        <w:fldChar w:fldCharType="begin"/>
      </w:r>
      <w:r>
        <w:instrText xml:space="preserve"> HYPERLINK "mailto:gdtxdl@163.com" </w:instrText>
      </w:r>
      <w:r>
        <w:fldChar w:fldCharType="separate"/>
      </w:r>
      <w:r>
        <w:rPr>
          <w:rFonts w:cs="宋体" w:asciiTheme="minorEastAsia" w:hAnsiTheme="minorEastAsia" w:eastAsiaTheme="minorEastAsia"/>
          <w:kern w:val="2"/>
          <w:lang w:eastAsia="zh-CN"/>
        </w:rPr>
        <w:t>gdtxdl@163.com</w:t>
      </w:r>
      <w:r>
        <w:rPr>
          <w:rFonts w:cs="宋体" w:asciiTheme="minorEastAsia" w:hAnsiTheme="minorEastAsia" w:eastAsiaTheme="minorEastAsia"/>
          <w:kern w:val="2"/>
          <w:lang w:eastAsia="zh-CN"/>
        </w:rPr>
        <w:fldChar w:fldCharType="end"/>
      </w:r>
      <w:r>
        <w:rPr>
          <w:rFonts w:hint="eastAsia" w:cs="宋体" w:asciiTheme="minorEastAsia" w:hAnsiTheme="minorEastAsia" w:eastAsiaTheme="minorEastAsia"/>
          <w:kern w:val="2"/>
          <w:lang w:eastAsia="zh-CN"/>
        </w:rPr>
        <w:t xml:space="preserve">  </w:t>
      </w:r>
    </w:p>
    <w:p>
      <w:pPr>
        <w:widowControl/>
        <w:adjustRightInd/>
        <w:spacing w:line="240" w:lineRule="auto"/>
        <w:jc w:val="left"/>
        <w:textAlignment w:val="auto"/>
        <w:rPr>
          <w:rFonts w:cs="宋体" w:asciiTheme="minorEastAsia" w:hAnsiTheme="minorEastAsia" w:eastAsiaTheme="minorEastAsia"/>
          <w:kern w:val="2"/>
          <w:lang w:eastAsia="zh-CN"/>
        </w:rPr>
      </w:pPr>
      <w:r>
        <w:rPr>
          <w:rFonts w:cs="宋体" w:asciiTheme="minorEastAsia" w:hAnsiTheme="minorEastAsia" w:eastAsiaTheme="minorEastAsia"/>
          <w:kern w:val="2"/>
          <w:lang w:eastAsia="zh-CN"/>
        </w:rPr>
        <w:t>地址</w:t>
      </w:r>
      <w:r>
        <w:rPr>
          <w:rFonts w:hint="eastAsia" w:cs="宋体" w:asciiTheme="minorEastAsia" w:hAnsiTheme="minorEastAsia" w:eastAsiaTheme="minorEastAsia"/>
          <w:kern w:val="2"/>
          <w:lang w:eastAsia="zh-CN"/>
        </w:rPr>
        <w:t>：佛山市南海区佛平四路富丰广场创客大学堂701</w:t>
      </w:r>
      <w:r>
        <w:rPr>
          <w:rFonts w:cs="宋体" w:asciiTheme="minorEastAsia" w:hAnsiTheme="minorEastAsia" w:eastAsiaTheme="minorEastAsia"/>
          <w:kern w:val="2"/>
          <w:lang w:eastAsia="zh-CN"/>
        </w:rPr>
        <w:br w:type="page"/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cs="宋体" w:asciiTheme="minorEastAsia" w:hAnsiTheme="minorEastAsia"/>
          <w:b/>
          <w:szCs w:val="28"/>
        </w:rPr>
      </w:pPr>
      <w:r>
        <w:rPr>
          <w:rFonts w:hint="eastAsia" w:cs="宋体" w:asciiTheme="minorEastAsia" w:hAnsiTheme="minorEastAsia"/>
          <w:b/>
          <w:szCs w:val="28"/>
        </w:rPr>
        <w:t>图片展示</w:t>
      </w:r>
    </w:p>
    <w:p>
      <w:pPr>
        <w:pStyle w:val="10"/>
        <w:numPr>
          <w:ilvl w:val="1"/>
          <w:numId w:val="1"/>
        </w:numPr>
        <w:tabs>
          <w:tab w:val="left" w:pos="567"/>
        </w:tabs>
        <w:spacing w:line="360" w:lineRule="auto"/>
        <w:ind w:left="709" w:hanging="283" w:firstLineChars="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335280</wp:posOffset>
            </wp:positionV>
            <wp:extent cx="2849245" cy="1892300"/>
            <wp:effectExtent l="19050" t="0" r="8255" b="0"/>
            <wp:wrapSquare wrapText="bothSides"/>
            <wp:docPr id="10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办公环境</w:t>
      </w: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38100</wp:posOffset>
            </wp:positionV>
            <wp:extent cx="2663825" cy="1977390"/>
            <wp:effectExtent l="19050" t="0" r="317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1"/>
          <w:numId w:val="1"/>
        </w:numPr>
        <w:tabs>
          <w:tab w:val="left" w:pos="567"/>
        </w:tabs>
        <w:spacing w:line="360" w:lineRule="auto"/>
        <w:ind w:left="709" w:hanging="283" w:firstLineChars="0"/>
        <w:rPr>
          <w:sz w:val="24"/>
          <w:szCs w:val="24"/>
        </w:rPr>
      </w:pPr>
      <w:r>
        <w:rPr>
          <w:sz w:val="24"/>
          <w:szCs w:val="24"/>
        </w:rPr>
        <w:t>项目展示</w:t>
      </w: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41910</wp:posOffset>
            </wp:positionV>
            <wp:extent cx="2307590" cy="1720215"/>
            <wp:effectExtent l="19050" t="0" r="0" b="0"/>
            <wp:wrapNone/>
            <wp:docPr id="8" name="图片 4" descr="桂阳县塘市、四里林光互补光伏发电项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桂阳县塘市、四里林光互补光伏发电项目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drawing>
          <wp:inline distT="0" distB="0" distL="0" distR="0">
            <wp:extent cx="2370455" cy="177292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47" cy="177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567"/>
        </w:tabs>
        <w:spacing w:line="360" w:lineRule="auto"/>
        <w:ind w:left="6060" w:leftChars="371" w:hanging="5170" w:hangingChars="2350"/>
        <w:rPr>
          <w:sz w:val="22"/>
          <w:szCs w:val="24"/>
        </w:rPr>
      </w:pPr>
      <w:r>
        <w:rPr>
          <w:sz w:val="2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582930</wp:posOffset>
            </wp:positionV>
            <wp:extent cx="1913255" cy="2544445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117" cy="254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4"/>
        </w:rPr>
        <w:t>220kV</w:t>
      </w:r>
      <w:r>
        <w:rPr>
          <w:rFonts w:hint="eastAsia"/>
          <w:sz w:val="22"/>
          <w:szCs w:val="24"/>
        </w:rPr>
        <w:t>海河甲乙线</w:t>
      </w:r>
      <w:r>
        <w:rPr>
          <w:sz w:val="22"/>
          <w:szCs w:val="24"/>
        </w:rPr>
        <w:t>42#~47#</w:t>
      </w:r>
      <w:r>
        <w:rPr>
          <w:rFonts w:hint="eastAsia"/>
          <w:sz w:val="22"/>
          <w:szCs w:val="24"/>
        </w:rPr>
        <w:t>迁改工程</w:t>
      </w:r>
      <w:r>
        <w:rPr>
          <w:sz w:val="22"/>
          <w:szCs w:val="24"/>
        </w:rPr>
        <w:t xml:space="preserve">   </w:t>
      </w:r>
      <w:r>
        <w:rPr>
          <w:rFonts w:hint="eastAsia"/>
          <w:sz w:val="22"/>
          <w:szCs w:val="24"/>
        </w:rPr>
        <w:t xml:space="preserve">   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桂阳县塘市、四里林光互补光伏发电项目</w:t>
      </w: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4445</wp:posOffset>
            </wp:positionV>
            <wp:extent cx="1838325" cy="2451100"/>
            <wp:effectExtent l="19050" t="0" r="9525" b="0"/>
            <wp:wrapNone/>
            <wp:docPr id="7" name="图片 5" descr="飞鹅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飞鹅岭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</w:p>
    <w:p>
      <w:pPr>
        <w:pStyle w:val="10"/>
        <w:tabs>
          <w:tab w:val="left" w:pos="567"/>
        </w:tabs>
        <w:spacing w:line="360" w:lineRule="auto"/>
        <w:ind w:left="780" w:firstLine="0" w:firstLineChars="0"/>
        <w:rPr>
          <w:sz w:val="24"/>
          <w:szCs w:val="24"/>
        </w:rPr>
      </w:pPr>
    </w:p>
    <w:p>
      <w:pPr>
        <w:pStyle w:val="10"/>
        <w:tabs>
          <w:tab w:val="left" w:pos="567"/>
        </w:tabs>
        <w:spacing w:line="360" w:lineRule="auto"/>
        <w:ind w:left="5400" w:leftChars="371" w:hanging="4510" w:hangingChars="2050"/>
        <w:rPr>
          <w:sz w:val="22"/>
          <w:szCs w:val="24"/>
        </w:rPr>
      </w:pPr>
      <w:r>
        <w:rPr>
          <w:rFonts w:hint="eastAsia"/>
          <w:sz w:val="22"/>
          <w:szCs w:val="24"/>
        </w:rPr>
        <w:t>惠州</w:t>
      </w:r>
      <w:r>
        <w:rPr>
          <w:sz w:val="22"/>
          <w:szCs w:val="24"/>
        </w:rPr>
        <w:t>220kV</w:t>
      </w:r>
      <w:r>
        <w:rPr>
          <w:rFonts w:hint="eastAsia"/>
          <w:sz w:val="22"/>
          <w:szCs w:val="24"/>
        </w:rPr>
        <w:t>伯恩至荣田单回线路工程</w:t>
      </w:r>
      <w:r>
        <w:rPr>
          <w:sz w:val="22"/>
          <w:szCs w:val="24"/>
        </w:rPr>
        <w:t xml:space="preserve">     </w:t>
      </w:r>
      <w:r>
        <w:rPr>
          <w:rFonts w:hint="eastAsia"/>
          <w:sz w:val="22"/>
          <w:szCs w:val="24"/>
        </w:rPr>
        <w:t>佛肇轻轨四会站连接线公路飞鹅岭段新建工程电力迁改工程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????????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广东</w:t>
    </w:r>
    <w:r>
      <w:rPr>
        <w:rFonts w:ascii="宋体" w:hAnsi="宋体" w:eastAsia="宋体" w:cs="宋体"/>
      </w:rPr>
      <w:t>腾鑫电力设计有限公司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D30B6"/>
    <w:multiLevelType w:val="multilevel"/>
    <w:tmpl w:val="4E4D30B6"/>
    <w:lvl w:ilvl="0" w:tentative="0">
      <w:start w:val="3"/>
      <w:numFmt w:val="japaneseCounting"/>
      <w:lvlText w:val="%1、"/>
      <w:lvlJc w:val="left"/>
      <w:pPr>
        <w:ind w:left="870" w:hanging="450"/>
      </w:pPr>
      <w:rPr>
        <w:rFonts w:hint="default" w:cs="宋体" w:asciiTheme="minorEastAsia" w:hAnsiTheme="minorEastAsia"/>
        <w:sz w:val="21"/>
      </w:rPr>
    </w:lvl>
    <w:lvl w:ilvl="1" w:tentative="0">
      <w:start w:val="1"/>
      <w:numFmt w:val="decimal"/>
      <w:lvlText w:val="%2）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EF"/>
    <w:rsid w:val="0008209B"/>
    <w:rsid w:val="00162499"/>
    <w:rsid w:val="001824CD"/>
    <w:rsid w:val="001C2D2E"/>
    <w:rsid w:val="00281D09"/>
    <w:rsid w:val="003E731D"/>
    <w:rsid w:val="00427EA3"/>
    <w:rsid w:val="004B19A6"/>
    <w:rsid w:val="005165C6"/>
    <w:rsid w:val="00543C0C"/>
    <w:rsid w:val="0058068D"/>
    <w:rsid w:val="00637997"/>
    <w:rsid w:val="0070110A"/>
    <w:rsid w:val="009174EF"/>
    <w:rsid w:val="00AD0043"/>
    <w:rsid w:val="00B41F1F"/>
    <w:rsid w:val="00B76CFE"/>
    <w:rsid w:val="00BA1E0C"/>
    <w:rsid w:val="00BB1AE7"/>
    <w:rsid w:val="00BC6060"/>
    <w:rsid w:val="00C24AEB"/>
    <w:rsid w:val="00CB19A1"/>
    <w:rsid w:val="00CE7D9C"/>
    <w:rsid w:val="00D412CA"/>
    <w:rsid w:val="00D727A9"/>
    <w:rsid w:val="00D95967"/>
    <w:rsid w:val="00DB2DE3"/>
    <w:rsid w:val="00EE192B"/>
    <w:rsid w:val="00F668B1"/>
    <w:rsid w:val="00FF6C19"/>
    <w:rsid w:val="6E4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eastAsia="????????" w:cs="Century"/>
      <w:kern w:val="0"/>
      <w:sz w:val="24"/>
      <w:szCs w:val="24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lang w:eastAsia="zh-CN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character" w:customStyle="1" w:styleId="11">
    <w:name w:val="页眉 Char"/>
    <w:basedOn w:val="8"/>
    <w:link w:val="4"/>
    <w:semiHidden/>
    <w:uiPriority w:val="99"/>
    <w:rPr>
      <w:rFonts w:ascii="Century" w:hAnsi="Century" w:eastAsia="????????" w:cs="Century"/>
      <w:kern w:val="0"/>
      <w:sz w:val="18"/>
      <w:szCs w:val="18"/>
      <w:lang w:eastAsia="ja-JP"/>
    </w:rPr>
  </w:style>
  <w:style w:type="character" w:customStyle="1" w:styleId="12">
    <w:name w:val="页脚 Char"/>
    <w:basedOn w:val="8"/>
    <w:link w:val="3"/>
    <w:semiHidden/>
    <w:uiPriority w:val="99"/>
    <w:rPr>
      <w:rFonts w:ascii="Century" w:hAnsi="Century" w:eastAsia="????????" w:cs="Century"/>
      <w:kern w:val="0"/>
      <w:sz w:val="18"/>
      <w:szCs w:val="18"/>
      <w:lang w:eastAsia="ja-JP"/>
    </w:rPr>
  </w:style>
  <w:style w:type="character" w:customStyle="1" w:styleId="13">
    <w:name w:val="批注框文本 Char"/>
    <w:basedOn w:val="8"/>
    <w:link w:val="2"/>
    <w:semiHidden/>
    <w:uiPriority w:val="99"/>
    <w:rPr>
      <w:rFonts w:ascii="Century" w:hAnsi="Century" w:eastAsia="????????" w:cs="Century"/>
      <w:kern w:val="0"/>
      <w:sz w:val="18"/>
      <w:szCs w:val="1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930</Characters>
  <Lines>7</Lines>
  <Paragraphs>2</Paragraphs>
  <TotalTime>36</TotalTime>
  <ScaleCrop>false</ScaleCrop>
  <LinksUpToDate>false</LinksUpToDate>
  <CharactersWithSpaces>1090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2021-10-27T02:26:00Z</dcterms:created>
  <dc:creator>computer11</dc:creator>
  <cp:lastModifiedBy>止水</cp:lastModifiedBy>
  <cp:lastPrinted>2021-10-22T06:33:00Z</cp:lastPrinted>
  <dcterms:modified xsi:type="dcterms:W3CDTF">2021-11-03T07:57:39Z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BA96192ED53B4BCD90A32457D1949C10</vt:lpwstr>
  </property>
</Properties>
</file>