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val="0"/>
        <w:snapToGrid w:val="0"/>
        <w:spacing w:beforeLines="0" w:afterLines="0" w:line="590" w:lineRule="exact"/>
        <w:textAlignment w:val="auto"/>
        <w:outlineLvl w:val="1"/>
        <w:rPr>
          <w:rFonts w:hint="eastAsia" w:ascii="宋体" w:hAnsi="宋体" w:eastAsia="黑体" w:cs="方正黑体_GBK"/>
          <w:bCs/>
          <w:color w:val="auto"/>
          <w:kern w:val="0"/>
          <w:sz w:val="32"/>
          <w:szCs w:val="32"/>
          <w:highlight w:val="none"/>
        </w:rPr>
      </w:pPr>
      <w:r>
        <w:rPr>
          <w:rFonts w:hint="eastAsia" w:ascii="宋体" w:hAnsi="宋体" w:eastAsia="黑体" w:cs="方正黑体_GBK"/>
          <w:bCs/>
          <w:color w:val="auto"/>
          <w:kern w:val="0"/>
          <w:sz w:val="32"/>
          <w:szCs w:val="32"/>
          <w:highlight w:val="none"/>
        </w:rPr>
        <w:t>附件2</w:t>
      </w:r>
    </w:p>
    <w:p>
      <w:pPr>
        <w:keepNext w:val="0"/>
        <w:keepLines w:val="0"/>
        <w:pageBreakBefore w:val="0"/>
        <w:kinsoku/>
        <w:wordWrap/>
        <w:overflowPunct/>
        <w:topLinePunct w:val="0"/>
        <w:autoSpaceDN/>
        <w:bidi w:val="0"/>
        <w:adjustRightInd w:val="0"/>
        <w:snapToGrid w:val="0"/>
        <w:spacing w:beforeLines="0" w:afterLines="0" w:line="590" w:lineRule="exact"/>
        <w:textAlignment w:val="auto"/>
        <w:outlineLvl w:val="1"/>
        <w:rPr>
          <w:rFonts w:hint="eastAsia" w:ascii="宋体" w:hAnsi="宋体" w:eastAsia="仿宋_GB2312" w:cs="仿宋_GB2312"/>
          <w:bCs/>
          <w:color w:val="auto"/>
          <w:kern w:val="0"/>
          <w:sz w:val="32"/>
          <w:szCs w:val="32"/>
          <w:highlight w:val="yellow"/>
        </w:rPr>
      </w:pPr>
    </w:p>
    <w:p>
      <w:pPr>
        <w:adjustRightInd w:val="0"/>
        <w:snapToGrid w:val="0"/>
        <w:spacing w:beforeLines="0" w:afterLines="0" w:line="590" w:lineRule="exact"/>
        <w:jc w:val="center"/>
        <w:outlineLvl w:val="1"/>
        <w:rPr>
          <w:rFonts w:hint="eastAsia" w:ascii="宋体" w:hAnsi="宋体" w:eastAsia="方正小标宋_GBK" w:cs="方正小标宋_GBK"/>
          <w:bCs/>
          <w:color w:val="auto"/>
          <w:spacing w:val="0"/>
          <w:kern w:val="0"/>
          <w:sz w:val="44"/>
          <w:szCs w:val="44"/>
          <w:highlight w:val="none"/>
          <w:lang w:eastAsia="zh-CN"/>
        </w:rPr>
      </w:pPr>
      <w:r>
        <w:rPr>
          <w:rFonts w:hint="eastAsia" w:ascii="宋体" w:hAnsi="宋体" w:eastAsia="方正小标宋_GBK" w:cs="方正小标宋_GBK"/>
          <w:bCs/>
          <w:color w:val="auto"/>
          <w:spacing w:val="0"/>
          <w:kern w:val="0"/>
          <w:sz w:val="44"/>
          <w:szCs w:val="44"/>
          <w:highlight w:val="none"/>
        </w:rPr>
        <w:t>委托</w:t>
      </w:r>
      <w:r>
        <w:rPr>
          <w:rFonts w:hint="eastAsia" w:ascii="宋体" w:hAnsi="宋体" w:eastAsia="方正小标宋_GBK" w:cs="方正小标宋_GBK"/>
          <w:bCs/>
          <w:color w:val="auto"/>
          <w:spacing w:val="0"/>
          <w:kern w:val="0"/>
          <w:sz w:val="44"/>
          <w:szCs w:val="44"/>
          <w:highlight w:val="none"/>
          <w:lang w:eastAsia="zh-CN"/>
        </w:rPr>
        <w:t>规范性文件备案审查专业辅助服务</w:t>
      </w:r>
    </w:p>
    <w:p>
      <w:pPr>
        <w:adjustRightInd w:val="0"/>
        <w:snapToGrid w:val="0"/>
        <w:spacing w:beforeLines="0" w:afterLines="0" w:line="590" w:lineRule="exact"/>
        <w:jc w:val="center"/>
        <w:outlineLvl w:val="1"/>
        <w:rPr>
          <w:rFonts w:hint="eastAsia" w:ascii="宋体" w:hAnsi="宋体" w:eastAsia="方正小标宋_GBK" w:cs="方正小标宋_GBK"/>
          <w:bCs/>
          <w:color w:val="auto"/>
          <w:kern w:val="0"/>
          <w:sz w:val="44"/>
          <w:szCs w:val="44"/>
          <w:highlight w:val="none"/>
        </w:rPr>
      </w:pPr>
      <w:r>
        <w:rPr>
          <w:rFonts w:hint="eastAsia" w:ascii="宋体" w:hAnsi="宋体" w:eastAsia="方正小标宋_GBK" w:cs="方正小标宋_GBK"/>
          <w:bCs/>
          <w:color w:val="auto"/>
          <w:spacing w:val="0"/>
          <w:kern w:val="0"/>
          <w:sz w:val="44"/>
          <w:szCs w:val="44"/>
          <w:highlight w:val="none"/>
        </w:rPr>
        <w:t>文件目录</w:t>
      </w:r>
    </w:p>
    <w:p>
      <w:pPr>
        <w:autoSpaceDE w:val="0"/>
        <w:adjustRightInd w:val="0"/>
        <w:snapToGrid w:val="0"/>
        <w:spacing w:beforeLines="0" w:afterLines="0" w:line="590" w:lineRule="exact"/>
        <w:ind w:firstLine="640" w:firstLineChars="200"/>
        <w:outlineLvl w:val="1"/>
        <w:rPr>
          <w:rFonts w:hint="eastAsia" w:ascii="宋体" w:hAnsi="宋体" w:eastAsia="仿宋_GB2312" w:cs="仿宋_GB2312"/>
          <w:color w:val="auto"/>
          <w:kern w:val="0"/>
          <w:sz w:val="32"/>
          <w:szCs w:val="32"/>
          <w:highlight w:val="none"/>
        </w:rPr>
      </w:pPr>
    </w:p>
    <w:p>
      <w:pPr>
        <w:autoSpaceDE w:val="0"/>
        <w:adjustRightInd w:val="0"/>
        <w:snapToGrid w:val="0"/>
        <w:spacing w:beforeLines="0" w:afterLines="0" w:line="590" w:lineRule="exact"/>
        <w:ind w:firstLine="640" w:firstLineChars="200"/>
        <w:outlineLvl w:val="1"/>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据统计，20</w:t>
      </w:r>
      <w:r>
        <w:rPr>
          <w:rFonts w:hint="eastAsia" w:ascii="宋体" w:hAnsi="宋体" w:eastAsia="仿宋_GB2312" w:cs="仿宋_GB2312"/>
          <w:color w:val="auto"/>
          <w:kern w:val="0"/>
          <w:sz w:val="32"/>
          <w:szCs w:val="32"/>
          <w:highlight w:val="none"/>
          <w:lang w:val="en-US" w:eastAsia="zh-CN"/>
        </w:rPr>
        <w:t>23</w:t>
      </w:r>
      <w:r>
        <w:rPr>
          <w:rFonts w:hint="eastAsia" w:ascii="宋体" w:hAnsi="宋体" w:eastAsia="仿宋_GB2312" w:cs="仿宋_GB2312"/>
          <w:color w:val="auto"/>
          <w:kern w:val="0"/>
          <w:sz w:val="32"/>
          <w:szCs w:val="32"/>
          <w:highlight w:val="none"/>
        </w:rPr>
        <w:t>年</w:t>
      </w:r>
      <w:r>
        <w:rPr>
          <w:rFonts w:hint="eastAsia" w:ascii="宋体" w:hAnsi="宋体" w:eastAsia="仿宋_GB2312" w:cs="仿宋_GB2312"/>
          <w:color w:val="auto"/>
          <w:kern w:val="0"/>
          <w:sz w:val="32"/>
          <w:szCs w:val="32"/>
          <w:highlight w:val="none"/>
          <w:lang w:val="en-US" w:eastAsia="zh-CN"/>
        </w:rPr>
        <w:t>4</w:t>
      </w:r>
      <w:r>
        <w:rPr>
          <w:rFonts w:hint="eastAsia" w:ascii="宋体" w:hAnsi="宋体" w:eastAsia="仿宋_GB2312" w:cs="仿宋_GB2312"/>
          <w:color w:val="auto"/>
          <w:kern w:val="0"/>
          <w:sz w:val="32"/>
          <w:szCs w:val="32"/>
          <w:highlight w:val="none"/>
        </w:rPr>
        <w:t>月1日至202</w:t>
      </w:r>
      <w:bookmarkStart w:id="0" w:name="_GoBack"/>
      <w:bookmarkEnd w:id="0"/>
      <w:r>
        <w:rPr>
          <w:rFonts w:hint="eastAsia" w:ascii="宋体" w:hAnsi="宋体" w:eastAsia="仿宋_GB2312" w:cs="仿宋_GB2312"/>
          <w:color w:val="auto"/>
          <w:kern w:val="0"/>
          <w:sz w:val="32"/>
          <w:szCs w:val="32"/>
          <w:highlight w:val="none"/>
          <w:lang w:val="en-US" w:eastAsia="zh-CN"/>
        </w:rPr>
        <w:t>4</w:t>
      </w:r>
      <w:r>
        <w:rPr>
          <w:rFonts w:hint="eastAsia" w:ascii="宋体" w:hAnsi="宋体" w:eastAsia="仿宋_GB2312" w:cs="仿宋_GB2312"/>
          <w:color w:val="auto"/>
          <w:kern w:val="0"/>
          <w:sz w:val="32"/>
          <w:szCs w:val="32"/>
          <w:highlight w:val="none"/>
        </w:rPr>
        <w:t>年</w:t>
      </w:r>
      <w:r>
        <w:rPr>
          <w:rFonts w:hint="eastAsia" w:ascii="宋体" w:hAnsi="宋体" w:eastAsia="仿宋_GB2312" w:cs="仿宋_GB2312"/>
          <w:color w:val="auto"/>
          <w:kern w:val="0"/>
          <w:sz w:val="32"/>
          <w:szCs w:val="32"/>
          <w:highlight w:val="none"/>
          <w:lang w:val="en-US" w:eastAsia="zh-CN"/>
        </w:rPr>
        <w:t>1</w:t>
      </w:r>
      <w:r>
        <w:rPr>
          <w:rFonts w:hint="eastAsia" w:ascii="宋体" w:hAnsi="宋体" w:eastAsia="仿宋_GB2312" w:cs="仿宋_GB2312"/>
          <w:color w:val="auto"/>
          <w:kern w:val="0"/>
          <w:sz w:val="32"/>
          <w:szCs w:val="32"/>
          <w:highlight w:val="none"/>
        </w:rPr>
        <w:t>月</w:t>
      </w:r>
      <w:r>
        <w:rPr>
          <w:rFonts w:hint="eastAsia" w:ascii="宋体" w:hAnsi="宋体" w:eastAsia="仿宋_GB2312" w:cs="仿宋_GB2312"/>
          <w:color w:val="auto"/>
          <w:kern w:val="0"/>
          <w:sz w:val="32"/>
          <w:szCs w:val="32"/>
          <w:highlight w:val="none"/>
          <w:lang w:val="en-US" w:eastAsia="zh-CN"/>
        </w:rPr>
        <w:t>31</w:t>
      </w:r>
      <w:r>
        <w:rPr>
          <w:rFonts w:hint="eastAsia" w:ascii="宋体" w:hAnsi="宋体" w:eastAsia="仿宋_GB2312" w:cs="仿宋_GB2312"/>
          <w:color w:val="auto"/>
          <w:kern w:val="0"/>
          <w:sz w:val="32"/>
          <w:szCs w:val="32"/>
          <w:highlight w:val="none"/>
        </w:rPr>
        <w:t>日需要委托审查</w:t>
      </w:r>
      <w:r>
        <w:rPr>
          <w:rFonts w:hint="eastAsia" w:ascii="宋体" w:hAnsi="宋体" w:eastAsia="仿宋_GB2312" w:cs="仿宋_GB2312"/>
          <w:color w:val="auto"/>
          <w:kern w:val="0"/>
          <w:sz w:val="32"/>
          <w:szCs w:val="32"/>
          <w:highlight w:val="none"/>
          <w:lang w:eastAsia="zh-CN"/>
        </w:rPr>
        <w:t>研究服务</w:t>
      </w:r>
      <w:r>
        <w:rPr>
          <w:rFonts w:hint="eastAsia" w:ascii="宋体" w:hAnsi="宋体" w:eastAsia="仿宋_GB2312" w:cs="仿宋_GB2312"/>
          <w:color w:val="auto"/>
          <w:kern w:val="0"/>
          <w:sz w:val="32"/>
          <w:szCs w:val="32"/>
          <w:highlight w:val="none"/>
        </w:rPr>
        <w:t>的规范性文件共</w:t>
      </w:r>
      <w:r>
        <w:rPr>
          <w:rFonts w:hint="eastAsia" w:ascii="宋体" w:hAnsi="宋体" w:eastAsia="仿宋_GB2312" w:cs="仿宋_GB2312"/>
          <w:color w:val="auto"/>
          <w:kern w:val="0"/>
          <w:sz w:val="32"/>
          <w:szCs w:val="32"/>
          <w:highlight w:val="none"/>
          <w:lang w:val="en-US" w:eastAsia="zh-CN"/>
        </w:rPr>
        <w:t>81</w:t>
      </w:r>
      <w:r>
        <w:rPr>
          <w:rFonts w:hint="eastAsia" w:ascii="宋体" w:hAnsi="宋体" w:eastAsia="仿宋_GB2312" w:cs="仿宋_GB2312"/>
          <w:color w:val="auto"/>
          <w:kern w:val="0"/>
          <w:sz w:val="32"/>
          <w:szCs w:val="32"/>
          <w:highlight w:val="none"/>
        </w:rPr>
        <w:t>件。具体情况如下：</w:t>
      </w:r>
    </w:p>
    <w:p>
      <w:pPr>
        <w:autoSpaceDE w:val="0"/>
        <w:adjustRightInd w:val="0"/>
        <w:snapToGrid w:val="0"/>
        <w:spacing w:before="0" w:beforeLines="0" w:after="159" w:afterLines="50" w:line="590" w:lineRule="exact"/>
        <w:ind w:left="0" w:leftChars="0" w:firstLine="640" w:firstLineChars="200"/>
        <w:jc w:val="left"/>
        <w:rPr>
          <w:rFonts w:hint="eastAsia" w:ascii="宋体" w:hAnsi="宋体" w:eastAsia="仿宋_GB2312" w:cs="仿宋_GB2312"/>
          <w:b/>
          <w:bCs/>
          <w:color w:val="auto"/>
          <w:kern w:val="0"/>
          <w:sz w:val="32"/>
          <w:szCs w:val="32"/>
          <w:highlight w:val="none"/>
        </w:rPr>
      </w:pPr>
      <w:r>
        <w:rPr>
          <w:rFonts w:hint="eastAsia" w:ascii="宋体" w:hAnsi="宋体" w:eastAsia="黑体" w:cs="黑体"/>
          <w:color w:val="auto"/>
          <w:kern w:val="0"/>
          <w:sz w:val="32"/>
          <w:szCs w:val="32"/>
          <w:highlight w:val="none"/>
        </w:rPr>
        <w:t>一、</w:t>
      </w:r>
      <w:r>
        <w:rPr>
          <w:rFonts w:hint="eastAsia" w:ascii="宋体" w:hAnsi="宋体" w:eastAsia="黑体" w:cs="黑体"/>
          <w:color w:val="auto"/>
          <w:kern w:val="0"/>
          <w:sz w:val="32"/>
          <w:szCs w:val="32"/>
          <w:highlight w:val="none"/>
          <w:lang w:eastAsia="zh-CN"/>
        </w:rPr>
        <w:t>地方</w:t>
      </w:r>
      <w:r>
        <w:rPr>
          <w:rFonts w:hint="eastAsia" w:ascii="宋体" w:hAnsi="宋体" w:eastAsia="黑体" w:cs="黑体"/>
          <w:color w:val="auto"/>
          <w:kern w:val="0"/>
          <w:sz w:val="32"/>
          <w:szCs w:val="32"/>
          <w:highlight w:val="none"/>
        </w:rPr>
        <w:t>政府规章（共</w:t>
      </w:r>
      <w:r>
        <w:rPr>
          <w:rFonts w:hint="eastAsia" w:ascii="宋体" w:hAnsi="宋体" w:eastAsia="黑体" w:cs="黑体"/>
          <w:color w:val="auto"/>
          <w:kern w:val="0"/>
          <w:sz w:val="32"/>
          <w:szCs w:val="32"/>
          <w:highlight w:val="none"/>
          <w:lang w:val="en-US" w:eastAsia="zh-CN"/>
        </w:rPr>
        <w:t>58</w:t>
      </w:r>
      <w:r>
        <w:rPr>
          <w:rFonts w:hint="eastAsia" w:ascii="宋体" w:hAnsi="宋体" w:eastAsia="黑体" w:cs="黑体"/>
          <w:color w:val="auto"/>
          <w:kern w:val="0"/>
          <w:sz w:val="32"/>
          <w:szCs w:val="32"/>
          <w:highlight w:val="none"/>
        </w:rPr>
        <w:t>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42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序号</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名  称</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制定形式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1</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广东省散装水泥和新型墙体材料发展应用管理规定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2</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广东省人民政府关于将第二批省级行政职权事项调整由横琴粤澳深度合作区执行委员会及其工作机构实施的决定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3</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广东省人民政府关于将一批省级行政职权事项调整由深圳市前海深港现代服务业合作区管理局实施的决定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val="en-US" w:eastAsia="zh-CN"/>
              </w:rPr>
              <w:t>4</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rPr>
              <w:t>广东省消费品召回管理办法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val="en-US" w:eastAsia="zh-CN"/>
              </w:rPr>
              <w:t>5</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广东省道路货物运输超限超载治理办法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6</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spacing w:val="0"/>
                <w:kern w:val="0"/>
                <w:sz w:val="32"/>
                <w:szCs w:val="32"/>
              </w:rPr>
              <w:t>广东省国有建设用地使用权交易市场管理规定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7</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广东省重大行政决策听证规定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8</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rPr>
              <w:t>广东省群防群治组织监督管理规定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9</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广东省事业单位公开招聘人员办法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10</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rPr>
              <w:t>广东省禁止电、炸、毒鱼规定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11</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广东省植物检疫实施办法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12</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广东省小水电管理办法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13</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广东省东江流域新丰江枫树坝白盆珠水库库区水资源</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14</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广东省西江广州引水工程管理办法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15</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广东省东深供水工程管理办法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16</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广东省行政规范性文件管理规定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17</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广东省省级储备粮管理办法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rPr>
              <w:t>1</w:t>
            </w:r>
            <w:r>
              <w:rPr>
                <w:rFonts w:hint="eastAsia" w:ascii="宋体" w:hAnsi="宋体" w:eastAsia="仿宋_GB2312" w:cs="仿宋_GB2312"/>
                <w:color w:val="auto"/>
                <w:kern w:val="0"/>
                <w:sz w:val="32"/>
                <w:szCs w:val="32"/>
                <w:highlight w:val="none"/>
                <w:lang w:val="en-US" w:eastAsia="zh-CN"/>
              </w:rPr>
              <w:t>8</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中山市接诉即办工作办法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rPr>
              <w:t>1</w:t>
            </w:r>
            <w:r>
              <w:rPr>
                <w:rFonts w:hint="eastAsia" w:ascii="宋体" w:hAnsi="宋体" w:eastAsia="仿宋_GB2312" w:cs="仿宋_GB2312"/>
                <w:color w:val="auto"/>
                <w:kern w:val="0"/>
                <w:sz w:val="32"/>
                <w:szCs w:val="32"/>
                <w:highlight w:val="none"/>
                <w:lang w:val="en-US" w:eastAsia="zh-CN"/>
              </w:rPr>
              <w:t>9</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汕头市南澳岛规划建设管理办法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20</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珠海经济特区行政争议调解办法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21</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东莞市12345政务服务便民热线管理办法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22</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汕头市市级储备粮管理办法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23</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汕头市行政执法协调办法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24</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汕头市城市二次供水管理办法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25</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广州市绿色建筑和建筑节能管理规定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26</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spacing w:val="0"/>
                <w:kern w:val="0"/>
                <w:sz w:val="32"/>
                <w:szCs w:val="32"/>
              </w:rPr>
              <w:t>珠海经济特区市场主体登记管理条例实施办法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27</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云浮市燃气管理办法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28</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肇庆市人民政府关于修改</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肇庆市消防安全管理规定</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的决定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29</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清远市政府规章制定办法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30</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珠海经济特区绿色建筑管理办法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31</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珠海市人民政府关于修改《珠海经济特区牛羊定点屠宰管理办法》的决定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eastAsia="zh-CN"/>
              </w:rPr>
              <w:t>修</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eastAsia="zh-CN"/>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32</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湛江市气象灾害防御规定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33</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揭阳市消防水源管理办法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34</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深圳市医疗保障办法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35</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深圳市人民政府关于将一批市（区）级行政职权事项调整由深圳市前海深港现代服务业合作区管理局在前海深港现代服务业合作区实施的决定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36</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江门市公共数据共享和开放利用管理办法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37</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珠海经济特区公共场所外语标识管理规定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38</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深圳市预拌混凝土和预拌砂浆管理规定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修</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39</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江门市城乡建设档案管理办法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40</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潮州市农贸市场管理办法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41</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惠州市消防水源管理办法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42</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深圳市公共租赁住房管理办法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43</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深圳市共有产权住房管理办法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44</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深圳市保障性住房规划建设管理办法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45</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深圳市保障性租赁住房管理办法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46</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rPr>
              <w:t>深圳市人民政府关于规划和自然资源行政职权调整的决定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修</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47</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潮州市古城区历史建筑保护管理办法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48</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中山市防御雷电灾害管理规定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49</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广州市门楼号牌管理规定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修</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50</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广州市政府合同管理规定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修</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51</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广州市房屋交易监督管理办法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修</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52</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河源市人民政府关于修改河源市城市供水用水管理办法的决定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修</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53</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深圳市市级储备粮管理办法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54</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梅州市闲置土地处置规定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55</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佛山市非物质文化遗产保护办法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56</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广州市革命遗存保护办法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57</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广东徐闻珊瑚礁国家级自然保护区管理办法</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rPr>
              <w:t>58</w:t>
            </w:r>
          </w:p>
        </w:tc>
        <w:tc>
          <w:tcPr>
            <w:tcW w:w="6428"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left"/>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佛山市行政规范性文件管理规定</w:t>
            </w:r>
          </w:p>
        </w:tc>
        <w:tc>
          <w:tcPr>
            <w:tcW w:w="1536"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kern w:val="0"/>
                <w:sz w:val="32"/>
                <w:szCs w:val="32"/>
              </w:rPr>
              <w:t>新制定</w:t>
            </w:r>
          </w:p>
        </w:tc>
      </w:tr>
    </w:tbl>
    <w:p>
      <w:pPr>
        <w:autoSpaceDE w:val="0"/>
        <w:adjustRightInd w:val="0"/>
        <w:snapToGrid w:val="0"/>
        <w:spacing w:before="0" w:beforeLines="0" w:after="0" w:afterLines="0" w:line="590" w:lineRule="exact"/>
        <w:ind w:left="0" w:leftChars="0" w:firstLine="640" w:firstLineChars="200"/>
        <w:jc w:val="left"/>
        <w:rPr>
          <w:rFonts w:hint="eastAsia" w:ascii="宋体" w:hAnsi="宋体" w:eastAsia="黑体" w:cs="黑体"/>
          <w:b w:val="0"/>
          <w:bCs w:val="0"/>
          <w:color w:val="auto"/>
          <w:kern w:val="0"/>
          <w:sz w:val="32"/>
          <w:szCs w:val="32"/>
          <w:highlight w:val="none"/>
        </w:rPr>
      </w:pPr>
      <w:r>
        <w:rPr>
          <w:rFonts w:hint="eastAsia" w:ascii="宋体" w:hAnsi="宋体" w:eastAsia="黑体" w:cs="黑体"/>
          <w:color w:val="auto"/>
          <w:kern w:val="0"/>
          <w:sz w:val="32"/>
          <w:szCs w:val="32"/>
          <w:highlight w:val="none"/>
        </w:rPr>
        <w:t>二、省政府</w:t>
      </w:r>
      <w:r>
        <w:rPr>
          <w:rFonts w:hint="eastAsia" w:ascii="宋体" w:hAnsi="宋体" w:eastAsia="黑体" w:cs="黑体"/>
          <w:color w:val="auto"/>
          <w:kern w:val="0"/>
          <w:sz w:val="32"/>
          <w:szCs w:val="32"/>
          <w:highlight w:val="none"/>
          <w:lang w:eastAsia="zh-CN"/>
        </w:rPr>
        <w:t>规范性文件</w:t>
      </w:r>
      <w:r>
        <w:rPr>
          <w:rFonts w:hint="eastAsia" w:ascii="宋体" w:hAnsi="宋体" w:eastAsia="黑体" w:cs="黑体"/>
          <w:color w:val="auto"/>
          <w:kern w:val="0"/>
          <w:sz w:val="32"/>
          <w:szCs w:val="32"/>
          <w:highlight w:val="none"/>
        </w:rPr>
        <w:t>（共</w:t>
      </w:r>
      <w:r>
        <w:rPr>
          <w:rFonts w:hint="eastAsia" w:ascii="宋体" w:hAnsi="宋体" w:eastAsia="黑体" w:cs="黑体"/>
          <w:color w:val="auto"/>
          <w:kern w:val="0"/>
          <w:sz w:val="32"/>
          <w:szCs w:val="32"/>
          <w:highlight w:val="none"/>
          <w:lang w:val="en-US" w:eastAsia="zh-CN"/>
        </w:rPr>
        <w:t>9</w:t>
      </w:r>
      <w:r>
        <w:rPr>
          <w:rFonts w:hint="eastAsia" w:ascii="宋体" w:hAnsi="宋体" w:eastAsia="黑体" w:cs="黑体"/>
          <w:color w:val="auto"/>
          <w:kern w:val="0"/>
          <w:sz w:val="32"/>
          <w:szCs w:val="32"/>
          <w:highlight w:val="none"/>
        </w:rPr>
        <w:t>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642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序号</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名   称</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制定形式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1</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rPr>
                <w:rFonts w:hint="eastAsia" w:ascii="宋体" w:hAnsi="宋体" w:eastAsia="仿宋_GB2312" w:cs="仿宋_GB2312"/>
                <w:kern w:val="0"/>
                <w:sz w:val="32"/>
                <w:szCs w:val="32"/>
                <w:lang w:val="en-US" w:eastAsia="zh-CN" w:bidi="ar-SA"/>
              </w:rPr>
            </w:pPr>
            <w:r>
              <w:rPr>
                <w:rFonts w:hint="eastAsia" w:ascii="宋体" w:hAnsi="宋体" w:eastAsia="仿宋_GB2312" w:cs="仿宋_GB2312"/>
                <w:kern w:val="0"/>
                <w:sz w:val="32"/>
                <w:szCs w:val="32"/>
              </w:rPr>
              <w:t>广东省人民政府关于印发广东省建设项目环境影响评价文件分级审批办法的通知</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b/>
                <w:bCs/>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2</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rPr>
                <w:rFonts w:hint="eastAsia" w:ascii="宋体" w:hAnsi="宋体" w:eastAsia="仿宋_GB2312" w:cs="仿宋_GB2312"/>
                <w:b/>
                <w:bCs/>
                <w:color w:val="auto"/>
                <w:kern w:val="0"/>
                <w:sz w:val="32"/>
                <w:szCs w:val="32"/>
                <w:highlight w:val="none"/>
              </w:rPr>
            </w:pPr>
            <w:r>
              <w:rPr>
                <w:rFonts w:hint="eastAsia" w:ascii="宋体" w:hAnsi="宋体" w:eastAsia="仿宋_GB2312" w:cs="仿宋_GB2312"/>
                <w:kern w:val="0"/>
                <w:sz w:val="32"/>
                <w:szCs w:val="32"/>
              </w:rPr>
              <w:t>广东省人民政府办公厅关于鼓励和支持社会资本参与生态保护修复的实施意见</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3</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广东省人民政府关于印发《广东省自然保护区建立和调整管理规定》的通知</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4</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20" w:lineRule="exac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广东省人民政府关于印发广东省税费征管保障办法的通知</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val="en-US" w:eastAsia="zh-CN"/>
              </w:rPr>
              <w:t>5</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20" w:lineRule="exac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广东省人民政府关于印发广东省人才优粤卡实施办法的通知</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val="en-US" w:eastAsia="zh-CN"/>
              </w:rPr>
              <w:t>6</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20" w:lineRule="exact"/>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广东省人民政府办公厅印发广东省关于香港机动车经港珠澳大桥珠海公路口岸入出内地管理办法的通知</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b/>
                <w:bCs/>
                <w:color w:val="auto"/>
                <w:kern w:val="0"/>
                <w:sz w:val="32"/>
                <w:szCs w:val="32"/>
                <w:highlight w:val="none"/>
                <w:lang w:eastAsia="zh-CN"/>
              </w:rPr>
            </w:pPr>
            <w:r>
              <w:rPr>
                <w:rFonts w:hint="eastAsia" w:ascii="宋体" w:hAnsi="宋体" w:eastAsia="仿宋_GB2312" w:cs="仿宋_GB2312"/>
                <w:color w:val="auto"/>
                <w:kern w:val="0"/>
                <w:sz w:val="32"/>
                <w:szCs w:val="32"/>
                <w:highlight w:val="none"/>
                <w:lang w:val="en-US" w:eastAsia="zh-CN"/>
              </w:rPr>
              <w:t>7</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20" w:lineRule="exact"/>
              <w:rPr>
                <w:rFonts w:hint="eastAsia" w:ascii="宋体" w:hAnsi="宋体" w:eastAsia="仿宋_GB2312" w:cs="仿宋_GB2312"/>
                <w:b/>
                <w:bCs/>
                <w:color w:val="auto"/>
                <w:kern w:val="0"/>
                <w:sz w:val="32"/>
                <w:szCs w:val="32"/>
                <w:highlight w:val="none"/>
              </w:rPr>
            </w:pPr>
            <w:r>
              <w:rPr>
                <w:rFonts w:hint="eastAsia" w:ascii="宋体" w:hAnsi="宋体" w:eastAsia="仿宋_GB2312" w:cs="仿宋_GB2312"/>
                <w:kern w:val="0"/>
                <w:sz w:val="32"/>
                <w:szCs w:val="32"/>
              </w:rPr>
              <w:t>广东省人民政府关于印发广东省一体化行政执法平台管理办法的通知</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b/>
                <w:bCs/>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8</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2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广东省人民政府关于印发广东省省级政府投资管理办法的通知</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9</w:t>
            </w:r>
          </w:p>
        </w:tc>
        <w:tc>
          <w:tcPr>
            <w:tcW w:w="642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2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rPr>
              <w:t>广东省人民政府关于印发广东省消防救援队伍职业保障办法的通知</w:t>
            </w:r>
          </w:p>
        </w:tc>
        <w:tc>
          <w:tcPr>
            <w:tcW w:w="153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bl>
    <w:p>
      <w:pPr>
        <w:autoSpaceDE w:val="0"/>
        <w:adjustRightInd w:val="0"/>
        <w:snapToGrid w:val="0"/>
        <w:spacing w:before="0" w:beforeLines="0" w:after="0" w:afterLines="0" w:line="590" w:lineRule="exact"/>
        <w:ind w:left="0" w:leftChars="0" w:firstLine="640" w:firstLineChars="200"/>
        <w:jc w:val="left"/>
        <w:outlineLvl w:val="9"/>
        <w:rPr>
          <w:rFonts w:hint="eastAsia" w:ascii="宋体" w:hAnsi="宋体" w:eastAsia="黑体" w:cs="黑体"/>
          <w:b w:val="0"/>
          <w:bCs w:val="0"/>
          <w:color w:val="auto"/>
          <w:kern w:val="0"/>
          <w:sz w:val="32"/>
          <w:szCs w:val="32"/>
          <w:highlight w:val="none"/>
        </w:rPr>
      </w:pPr>
      <w:r>
        <w:rPr>
          <w:rFonts w:hint="eastAsia" w:ascii="宋体" w:hAnsi="宋体" w:eastAsia="黑体" w:cs="黑体"/>
          <w:color w:val="auto"/>
          <w:kern w:val="0"/>
          <w:sz w:val="32"/>
          <w:szCs w:val="32"/>
          <w:highlight w:val="none"/>
        </w:rPr>
        <w:t>三、</w:t>
      </w:r>
      <w:r>
        <w:rPr>
          <w:rFonts w:hint="eastAsia" w:ascii="宋体" w:hAnsi="宋体" w:eastAsia="黑体" w:cs="黑体"/>
          <w:color w:val="auto"/>
          <w:kern w:val="0"/>
          <w:sz w:val="32"/>
          <w:szCs w:val="32"/>
          <w:highlight w:val="none"/>
          <w:lang w:eastAsia="zh-CN"/>
        </w:rPr>
        <w:t>设区的</w:t>
      </w:r>
      <w:r>
        <w:rPr>
          <w:rFonts w:hint="eastAsia" w:ascii="宋体" w:hAnsi="宋体" w:eastAsia="黑体" w:cs="黑体"/>
          <w:color w:val="auto"/>
          <w:kern w:val="0"/>
          <w:sz w:val="32"/>
          <w:szCs w:val="32"/>
          <w:highlight w:val="none"/>
        </w:rPr>
        <w:t>市人大</w:t>
      </w:r>
      <w:r>
        <w:rPr>
          <w:rFonts w:hint="eastAsia" w:ascii="宋体" w:hAnsi="宋体" w:eastAsia="黑体" w:cs="黑体"/>
          <w:color w:val="auto"/>
          <w:kern w:val="0"/>
          <w:sz w:val="32"/>
          <w:szCs w:val="32"/>
          <w:highlight w:val="none"/>
          <w:lang w:eastAsia="zh-CN"/>
        </w:rPr>
        <w:t>规范性文件</w:t>
      </w:r>
      <w:r>
        <w:rPr>
          <w:rFonts w:hint="eastAsia" w:ascii="宋体" w:hAnsi="宋体" w:eastAsia="黑体" w:cs="黑体"/>
          <w:color w:val="auto"/>
          <w:kern w:val="0"/>
          <w:sz w:val="32"/>
          <w:szCs w:val="32"/>
          <w:highlight w:val="none"/>
        </w:rPr>
        <w:t>（共</w:t>
      </w:r>
      <w:r>
        <w:rPr>
          <w:rFonts w:hint="eastAsia" w:ascii="宋体" w:hAnsi="宋体" w:eastAsia="黑体" w:cs="黑体"/>
          <w:color w:val="auto"/>
          <w:kern w:val="0"/>
          <w:sz w:val="32"/>
          <w:szCs w:val="32"/>
          <w:highlight w:val="none"/>
          <w:lang w:val="en-US" w:eastAsia="zh-CN"/>
        </w:rPr>
        <w:t>10</w:t>
      </w:r>
      <w:r>
        <w:rPr>
          <w:rFonts w:hint="eastAsia" w:ascii="宋体" w:hAnsi="宋体" w:eastAsia="黑体" w:cs="黑体"/>
          <w:color w:val="auto"/>
          <w:kern w:val="0"/>
          <w:sz w:val="32"/>
          <w:szCs w:val="32"/>
          <w:highlight w:val="none"/>
        </w:rPr>
        <w:t>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40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序号</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名   称</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制定形式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江门市人大常委会关于进一步发挥侨资源优势促进高质量发展的决定</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2</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广州市人民代表大会常务委员会关于“代表随手拍”反映事项办理工作的规定</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3</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梅州市人民代表大会常务委员会关于继续实施畜牧品种改良促进畜牧业发展议案的决议</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4</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云浮市人民代表大会常务委员会关于促进我市民营经济高质量发展的决定</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5</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云浮市人民代表大会常务委员会关于加强绿美云浮生态建设的决定</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6</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韶关市人民代表大会常务委员会关于加强矿产资源管理的决定</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7</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清远市人民代表大会常务委员会关于批准</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清远市人民政府关于授权调整地方性法规设定行政执法事项由乡镇街道实施的议案</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的决定</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8</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梅州市人民代表大会常务委员会关于《梅州市国土空间总体规划（2021-2035年）》的决议</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9</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spacing w:val="-3"/>
                <w:kern w:val="0"/>
                <w:sz w:val="32"/>
                <w:szCs w:val="32"/>
              </w:rPr>
              <w:t>广州市人民代表大会常务委员会人事任免办法</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修</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10</w:t>
            </w:r>
          </w:p>
        </w:tc>
        <w:tc>
          <w:tcPr>
            <w:tcW w:w="6400"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top"/>
          </w:tcPr>
          <w:p>
            <w:pPr>
              <w:adjustRightInd w:val="0"/>
              <w:snapToGrid w:val="0"/>
              <w:spacing w:beforeLines="0" w:afterLines="0" w:line="440" w:lineRule="exact"/>
              <w:jc w:val="lef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揭阳市人民代表大会常务委员会执法检查工作规定</w:t>
            </w:r>
          </w:p>
        </w:tc>
        <w:tc>
          <w:tcPr>
            <w:tcW w:w="1531"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新制定</w:t>
            </w:r>
          </w:p>
        </w:tc>
      </w:tr>
    </w:tbl>
    <w:p>
      <w:pPr>
        <w:autoSpaceDE w:val="0"/>
        <w:adjustRightInd w:val="0"/>
        <w:snapToGrid w:val="0"/>
        <w:spacing w:before="0" w:beforeLines="0" w:after="0" w:afterLines="0" w:line="590" w:lineRule="exact"/>
        <w:ind w:firstLine="640" w:firstLineChars="200"/>
        <w:jc w:val="left"/>
        <w:outlineLvl w:val="9"/>
        <w:rPr>
          <w:rFonts w:hint="eastAsia" w:ascii="宋体" w:hAnsi="宋体" w:eastAsia="黑体" w:cs="黑体"/>
          <w:b w:val="0"/>
          <w:bCs w:val="0"/>
          <w:color w:val="auto"/>
          <w:spacing w:val="0"/>
          <w:kern w:val="0"/>
          <w:sz w:val="32"/>
          <w:szCs w:val="32"/>
          <w:highlight w:val="none"/>
        </w:rPr>
      </w:pPr>
      <w:r>
        <w:rPr>
          <w:rFonts w:hint="eastAsia" w:ascii="宋体" w:hAnsi="宋体" w:eastAsia="黑体" w:cs="黑体"/>
          <w:color w:val="auto"/>
          <w:spacing w:val="0"/>
          <w:kern w:val="0"/>
          <w:sz w:val="32"/>
          <w:szCs w:val="32"/>
          <w:highlight w:val="none"/>
        </w:rPr>
        <w:t>四、</w:t>
      </w:r>
      <w:r>
        <w:rPr>
          <w:rFonts w:hint="eastAsia" w:ascii="宋体" w:hAnsi="宋体" w:eastAsia="黑体" w:cs="黑体"/>
          <w:color w:val="auto"/>
          <w:spacing w:val="0"/>
          <w:kern w:val="0"/>
          <w:sz w:val="32"/>
          <w:szCs w:val="32"/>
          <w:highlight w:val="none"/>
          <w:lang w:eastAsia="zh-CN"/>
        </w:rPr>
        <w:t>省法院、</w:t>
      </w:r>
      <w:r>
        <w:rPr>
          <w:rFonts w:hint="eastAsia" w:ascii="宋体" w:hAnsi="宋体" w:eastAsia="黑体" w:cs="黑体"/>
          <w:color w:val="auto"/>
          <w:spacing w:val="0"/>
          <w:kern w:val="0"/>
          <w:sz w:val="32"/>
          <w:szCs w:val="32"/>
          <w:highlight w:val="none"/>
        </w:rPr>
        <w:t>省检察院规范性文件</w:t>
      </w:r>
      <w:r>
        <w:rPr>
          <w:rFonts w:hint="eastAsia" w:ascii="宋体" w:hAnsi="宋体" w:eastAsia="黑体" w:cs="黑体"/>
          <w:color w:val="auto"/>
          <w:kern w:val="0"/>
          <w:sz w:val="32"/>
          <w:szCs w:val="32"/>
          <w:highlight w:val="none"/>
        </w:rPr>
        <w:t>（共</w:t>
      </w:r>
      <w:r>
        <w:rPr>
          <w:rFonts w:hint="eastAsia" w:ascii="宋体" w:hAnsi="宋体" w:eastAsia="黑体" w:cs="黑体"/>
          <w:color w:val="auto"/>
          <w:kern w:val="0"/>
          <w:sz w:val="32"/>
          <w:szCs w:val="32"/>
          <w:highlight w:val="none"/>
          <w:lang w:val="en-US" w:eastAsia="zh-CN"/>
        </w:rPr>
        <w:t>4</w:t>
      </w:r>
      <w:r>
        <w:rPr>
          <w:rFonts w:hint="eastAsia" w:ascii="宋体" w:hAnsi="宋体" w:eastAsia="黑体" w:cs="黑体"/>
          <w:color w:val="auto"/>
          <w:kern w:val="0"/>
          <w:sz w:val="32"/>
          <w:szCs w:val="32"/>
          <w:highlight w:val="none"/>
        </w:rPr>
        <w:t>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392"/>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序号</w:t>
            </w:r>
          </w:p>
        </w:tc>
        <w:tc>
          <w:tcPr>
            <w:tcW w:w="6392"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名   称</w:t>
            </w:r>
          </w:p>
        </w:tc>
        <w:tc>
          <w:tcPr>
            <w:tcW w:w="156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center"/>
              <w:outlineLvl w:val="1"/>
              <w:rPr>
                <w:rFonts w:hint="eastAsia" w:ascii="宋体" w:hAnsi="宋体" w:eastAsia="黑体" w:cs="黑体"/>
                <w:b w:val="0"/>
                <w:bCs w:val="0"/>
                <w:color w:val="auto"/>
                <w:kern w:val="0"/>
                <w:sz w:val="32"/>
                <w:szCs w:val="32"/>
                <w:highlight w:val="none"/>
              </w:rPr>
            </w:pPr>
            <w:r>
              <w:rPr>
                <w:rFonts w:hint="eastAsia" w:ascii="宋体" w:hAnsi="宋体" w:eastAsia="黑体" w:cs="黑体"/>
                <w:b w:val="0"/>
                <w:bCs w:val="0"/>
                <w:color w:val="auto"/>
                <w:kern w:val="0"/>
                <w:sz w:val="32"/>
                <w:szCs w:val="32"/>
                <w:highlight w:val="none"/>
              </w:rPr>
              <w:t>制定形式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b/>
                <w:bCs/>
                <w:color w:val="auto"/>
                <w:kern w:val="0"/>
                <w:sz w:val="32"/>
                <w:szCs w:val="32"/>
                <w:highlight w:val="none"/>
              </w:rPr>
            </w:pPr>
            <w:r>
              <w:rPr>
                <w:rFonts w:hint="eastAsia" w:ascii="宋体" w:hAnsi="宋体" w:eastAsia="仿宋_GB2312" w:cs="仿宋_GB2312"/>
                <w:color w:val="auto"/>
                <w:kern w:val="0"/>
                <w:sz w:val="32"/>
                <w:szCs w:val="32"/>
                <w:highlight w:val="none"/>
              </w:rPr>
              <w:t>1</w:t>
            </w:r>
          </w:p>
        </w:tc>
        <w:tc>
          <w:tcPr>
            <w:tcW w:w="6392"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both"/>
              <w:outlineLvl w:val="1"/>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广东省高级人民法院关于充分发挥破产审判职能服务髙质量发展的意见</w:t>
            </w:r>
          </w:p>
        </w:tc>
        <w:tc>
          <w:tcPr>
            <w:tcW w:w="156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b/>
                <w:bCs/>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2</w:t>
            </w:r>
          </w:p>
        </w:tc>
        <w:tc>
          <w:tcPr>
            <w:tcW w:w="6392"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both"/>
              <w:outlineLvl w:val="1"/>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广东省高级人民法院关于服务和保障广州南沙深化面向世界的粤港澳全面合作的意见</w:t>
            </w:r>
          </w:p>
        </w:tc>
        <w:tc>
          <w:tcPr>
            <w:tcW w:w="156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3</w:t>
            </w:r>
          </w:p>
        </w:tc>
        <w:tc>
          <w:tcPr>
            <w:tcW w:w="6392"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both"/>
              <w:outlineLvl w:val="1"/>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广东省高级人民法院关于指定广州、深圳、珠海市辖区一审涉外、涉港澳台民商事案件集中管辖的批复</w:t>
            </w:r>
          </w:p>
        </w:tc>
        <w:tc>
          <w:tcPr>
            <w:tcW w:w="156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4</w:t>
            </w:r>
          </w:p>
        </w:tc>
        <w:tc>
          <w:tcPr>
            <w:tcW w:w="6392"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djustRightInd w:val="0"/>
              <w:snapToGrid w:val="0"/>
              <w:spacing w:beforeLines="0" w:afterLines="0" w:line="440" w:lineRule="exact"/>
              <w:jc w:val="both"/>
              <w:outlineLvl w:val="1"/>
              <w:rPr>
                <w:rFonts w:hint="eastAsia" w:ascii="宋体" w:hAnsi="宋体" w:eastAsia="仿宋_GB2312" w:cs="仿宋_GB2312"/>
                <w:b/>
                <w:bCs/>
                <w:color w:val="auto"/>
                <w:kern w:val="0"/>
                <w:sz w:val="32"/>
                <w:szCs w:val="32"/>
                <w:highlight w:val="none"/>
                <w:lang w:val="en-US" w:eastAsia="zh-CN" w:bidi="ar-SA"/>
              </w:rPr>
            </w:pPr>
            <w:r>
              <w:rPr>
                <w:rFonts w:hint="eastAsia" w:ascii="宋体" w:hAnsi="宋体" w:eastAsia="仿宋_GB2312" w:cs="仿宋_GB2312"/>
                <w:kern w:val="0"/>
                <w:sz w:val="32"/>
                <w:szCs w:val="32"/>
              </w:rPr>
              <w:t>关于建立行政争议实质性化解协同调处机制的意见</w:t>
            </w:r>
          </w:p>
        </w:tc>
        <w:tc>
          <w:tcPr>
            <w:tcW w:w="1567" w:type="dxa"/>
            <w:tcBorders>
              <w:top w:val="single" w:color="auto" w:sz="4" w:space="0"/>
              <w:left w:val="nil"/>
              <w:bottom w:val="single" w:color="auto" w:sz="4" w:space="0"/>
              <w:right w:val="single" w:color="auto" w:sz="4" w:space="0"/>
            </w:tcBorders>
            <w:noWrap w:val="0"/>
            <w:tcMar>
              <w:top w:w="57" w:type="dxa"/>
              <w:left w:w="51" w:type="dxa"/>
              <w:bottom w:w="57" w:type="dxa"/>
              <w:right w:w="51" w:type="dxa"/>
            </w:tcMar>
            <w:vAlign w:val="center"/>
          </w:tcPr>
          <w:p>
            <w:pPr>
              <w:autoSpaceDE w:val="0"/>
              <w:adjustRightInd w:val="0"/>
              <w:snapToGrid w:val="0"/>
              <w:spacing w:beforeLines="0" w:afterLines="0" w:line="440" w:lineRule="exact"/>
              <w:jc w:val="center"/>
              <w:rPr>
                <w:rFonts w:hint="eastAsia" w:ascii="宋体" w:hAnsi="宋体" w:eastAsia="仿宋_GB2312" w:cs="仿宋_GB2312"/>
                <w:b/>
                <w:bCs/>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rPr>
              <w:t>新制定</w:t>
            </w:r>
          </w:p>
        </w:tc>
      </w:tr>
    </w:tbl>
    <w:p>
      <w:pPr>
        <w:widowControl w:val="0"/>
        <w:numPr>
          <w:ilvl w:val="0"/>
          <w:numId w:val="0"/>
        </w:numPr>
        <w:adjustRightInd w:val="0"/>
        <w:snapToGrid w:val="0"/>
        <w:spacing w:beforeLines="0" w:afterLines="0" w:line="590" w:lineRule="exact"/>
        <w:jc w:val="both"/>
        <w:rPr>
          <w:rFonts w:hint="eastAsia" w:ascii="宋体" w:hAnsi="宋体" w:eastAsia="仿宋_GB2312" w:cs="仿宋_GB2312"/>
          <w:bCs/>
          <w:color w:val="auto"/>
          <w:kern w:val="0"/>
          <w:sz w:val="32"/>
          <w:szCs w:val="32"/>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DZlNzQwZGUxZTQ3YWFlNjI4ZTdmZGIzYzM4YWUifQ=="/>
  </w:docVars>
  <w:rsids>
    <w:rsidRoot w:val="6FC63A8D"/>
    <w:rsid w:val="0E1A5943"/>
    <w:rsid w:val="249525E9"/>
    <w:rsid w:val="259A0DE6"/>
    <w:rsid w:val="26272E34"/>
    <w:rsid w:val="3B0C09A1"/>
    <w:rsid w:val="50D37B7E"/>
    <w:rsid w:val="52EF3694"/>
    <w:rsid w:val="52F24EB6"/>
    <w:rsid w:val="566F4560"/>
    <w:rsid w:val="658630E2"/>
    <w:rsid w:val="6FC63A8D"/>
    <w:rsid w:val="72FB5C47"/>
    <w:rsid w:val="74CC16BC"/>
    <w:rsid w:val="7582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2024-03-20T08:16:00Z</dcterms:created>
  <dc:creator>悦昙幻</dc:creator>
  <cp:lastModifiedBy>悦昙幻</cp:lastModifiedBy>
  <dcterms:modified xsi:type="dcterms:W3CDTF">2024-03-20T08:16:48Z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4795D8A9DA50451881B98B37E1E74A4A_11</vt:lpwstr>
  </property>
</Properties>
</file>