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right="0" w:rightChars="0"/>
        <w:jc w:val="left"/>
        <w:textAlignment w:val="auto"/>
        <w:outlineLvl w:val="1"/>
        <w:rPr>
          <w:rFonts w:hint="eastAsia" w:ascii="宋体" w:hAnsi="宋体" w:eastAsia="黑体" w:cs="方正黑体_GBK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方正黑体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黑体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right="0" w:rightChars="0"/>
        <w:jc w:val="center"/>
        <w:textAlignment w:val="auto"/>
        <w:rPr>
          <w:rFonts w:hint="eastAsia" w:ascii="宋体" w:hAnsi="宋体" w:eastAsia="方正小标宋_GBK" w:cs="方正小标宋_GBK"/>
          <w:bCs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right="0" w:rightChars="0"/>
        <w:jc w:val="center"/>
        <w:textAlignment w:val="auto"/>
        <w:rPr>
          <w:rFonts w:hint="eastAsia" w:ascii="宋体" w:hAnsi="宋体" w:eastAsia="方正小标宋_GBK" w:cs="方正小标宋_GBK"/>
          <w:bCs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_GBK" w:cs="方正小标宋_GBK"/>
          <w:bCs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委托法规语言审核专业辅助服务法规目录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宋体" w:hAnsi="宋体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（以2024年立法工作计划为依据，按照实际委托项目计算）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1.</w:t>
      </w: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广东省促进港澳青年在粤港澳大湾区</w:t>
      </w:r>
      <w:bookmarkStart w:id="0" w:name="_GoBack"/>
      <w:bookmarkEnd w:id="0"/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就业创业条例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2.</w:t>
      </w: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广东省粤港澳大湾区进口港澳药品医疗器械管理条例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3.广东省林长制条例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4.广东省成品油流通管理条例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5.广东省民用核设施核事故预防和应急管理条例（修改）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广东省华侨捐赠兴办公益事业管理条例（修改）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7.广东省各级人民代表大会常务委员会规范性文件备案审查条例（修改）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i w:val="0"/>
          <w:iCs w:val="0"/>
          <w:snapToGrid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8.广东省社会保障卡居民服务一卡通条例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9.广东省公共文化服务促进条例（修改）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10.广东省见义勇为人员奖励和保障条例（修改）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11.广东省新型农村集体经济发展促进条例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12.广东省促进产业有序转移条例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13.广东省河湖长制条例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14.广东省家庭教育促进条例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-SA"/>
        </w:rPr>
        <w:t>15.广东省历史文化名城名镇名村保护条例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"/>
        </w:rPr>
        <w:t>16.</w:t>
      </w:r>
      <w:r>
        <w:rPr>
          <w:rFonts w:hint="eastAsia" w:ascii="宋体" w:hAnsi="宋体" w:eastAsia="仿宋_GB2312" w:cs="仿宋_GB2312"/>
          <w:snapToGrid w:val="0"/>
          <w:color w:val="auto"/>
          <w:kern w:val="0"/>
          <w:sz w:val="32"/>
          <w:szCs w:val="32"/>
          <w:vertAlign w:val="baseline"/>
          <w:lang w:val="en-US" w:eastAsia="zh-CN" w:bidi="ar-SA"/>
        </w:rPr>
        <w:t>广东省</w:t>
      </w:r>
      <w:r>
        <w:rPr>
          <w:rFonts w:hint="eastAsia" w:ascii="宋体" w:hAnsi="宋体" w:eastAsia="仿宋_GB2312" w:cs="仿宋_GB2312"/>
          <w:small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现代企业制度建设促进条例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ZlNzQwZGUxZTQ3YWFlNjI4ZTdmZGIzYzM4YWUifQ=="/>
  </w:docVars>
  <w:rsids>
    <w:rsidRoot w:val="0C337C94"/>
    <w:rsid w:val="0C337C94"/>
    <w:rsid w:val="0E1A5943"/>
    <w:rsid w:val="249525E9"/>
    <w:rsid w:val="259A0DE6"/>
    <w:rsid w:val="26272E34"/>
    <w:rsid w:val="3B0C09A1"/>
    <w:rsid w:val="50D37B7E"/>
    <w:rsid w:val="52EF3694"/>
    <w:rsid w:val="52F24EB6"/>
    <w:rsid w:val="566F4560"/>
    <w:rsid w:val="658630E2"/>
    <w:rsid w:val="72FB5C47"/>
    <w:rsid w:val="74CC16BC"/>
    <w:rsid w:val="758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2024-03-20T08:17:00Z</dcterms:created>
  <dc:creator>悦昙幻</dc:creator>
  <cp:lastModifiedBy>悦昙幻</cp:lastModifiedBy>
  <dcterms:modified xsi:type="dcterms:W3CDTF">2024-03-20T08:17:39Z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FE99FBFE31B3419F9F947C2DB7CCA7FC_11</vt:lpwstr>
  </property>
</Properties>
</file>