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74EBFC5">
      <w:pPr>
        <w:pStyle w:val="2"/>
        <w:spacing w:line="420" w:lineRule="atLeast"/>
        <w:jc w:val="center"/>
      </w:pPr>
      <w:bookmarkStart w:id="0" w:name="_GoBack"/>
      <w:bookmarkEnd w:id="0"/>
      <w:r>
        <w:rPr>
          <w:rFonts w:hint="eastAsia"/>
        </w:rPr>
        <w:t>穗发改规字〔2025〕4号</w:t>
      </w:r>
    </w:p>
    <w:p w14:paraId="631FABB3">
      <w:pPr>
        <w:pStyle w:val="2"/>
        <w:spacing w:line="420" w:lineRule="atLeast"/>
        <w:jc w:val="center"/>
        <w:rPr>
          <w:rFonts w:hint="eastAsia"/>
        </w:rPr>
      </w:pPr>
      <w:r>
        <w:rPr>
          <w:rStyle w:val="5"/>
          <w:rFonts w:hint="eastAsia"/>
        </w:rPr>
        <w:t>广州市发展和改革委员会关于我市中心城区自来水价格改革有关问题的通知</w:t>
      </w:r>
    </w:p>
    <w:p w14:paraId="510AE8A3">
      <w:pPr>
        <w:pStyle w:val="2"/>
        <w:spacing w:line="420" w:lineRule="atLeast"/>
        <w:rPr>
          <w:rFonts w:hint="eastAsia"/>
        </w:rPr>
      </w:pPr>
    </w:p>
    <w:p w14:paraId="2A8BA3A9">
      <w:pPr>
        <w:pStyle w:val="2"/>
        <w:spacing w:line="420" w:lineRule="atLeast"/>
        <w:rPr>
          <w:rFonts w:hint="eastAsia"/>
        </w:rPr>
      </w:pPr>
      <w:r>
        <w:rPr>
          <w:rFonts w:hint="eastAsia"/>
        </w:rPr>
        <w:t>广州市自来水有限公司：</w:t>
      </w:r>
    </w:p>
    <w:p w14:paraId="4A125A31">
      <w:pPr>
        <w:pStyle w:val="2"/>
        <w:spacing w:line="420" w:lineRule="atLeast"/>
        <w:rPr>
          <w:rFonts w:hint="eastAsia"/>
        </w:rPr>
      </w:pPr>
      <w:r>
        <w:rPr>
          <w:rFonts w:hint="eastAsia"/>
        </w:rPr>
        <w:t>　　为促进城镇供水事业发展，节约和保护水资源，根据《广东省发展和改革委员会、广东省住房和城乡建设厅关于印发城镇供水价格管理实施办法的通知》（粤发改规〔2022〕5号）等文件精神，经市委、市政府同意，现就我市中心城区自来水价格改革有关问题通知如下。</w:t>
      </w:r>
    </w:p>
    <w:p w14:paraId="3D1AF4CD">
      <w:pPr>
        <w:pStyle w:val="2"/>
        <w:spacing w:line="420" w:lineRule="atLeast"/>
        <w:rPr>
          <w:rFonts w:hint="eastAsia"/>
        </w:rPr>
      </w:pPr>
      <w:r>
        <w:rPr>
          <w:rFonts w:hint="eastAsia"/>
        </w:rPr>
        <w:t>　　</w:t>
      </w:r>
      <w:r>
        <w:rPr>
          <w:rStyle w:val="5"/>
          <w:rFonts w:hint="eastAsia"/>
        </w:rPr>
        <w:t>一、适用范围</w:t>
      </w:r>
    </w:p>
    <w:p w14:paraId="4E2E1EA2">
      <w:pPr>
        <w:pStyle w:val="2"/>
        <w:spacing w:line="420" w:lineRule="atLeast"/>
        <w:rPr>
          <w:rFonts w:hint="eastAsia"/>
        </w:rPr>
      </w:pPr>
      <w:r>
        <w:rPr>
          <w:rFonts w:hint="eastAsia"/>
        </w:rPr>
        <w:t>　　广州市自来水有限公司在广州市中心城区供水服务区域内（包括越秀区、荔湾区、天河区、海珠区、黄埔区、白云区、大学城区域等）供应的自来水价格。</w:t>
      </w:r>
    </w:p>
    <w:p w14:paraId="5A5A159A">
      <w:pPr>
        <w:pStyle w:val="2"/>
        <w:spacing w:line="420" w:lineRule="atLeast"/>
        <w:rPr>
          <w:rFonts w:hint="eastAsia"/>
        </w:rPr>
      </w:pPr>
      <w:r>
        <w:rPr>
          <w:rFonts w:hint="eastAsia"/>
        </w:rPr>
        <w:t>　　</w:t>
      </w:r>
      <w:r>
        <w:rPr>
          <w:rStyle w:val="5"/>
          <w:rFonts w:hint="eastAsia"/>
        </w:rPr>
        <w:t>二、完善居民生活用水阶梯价格制度</w:t>
      </w:r>
    </w:p>
    <w:p w14:paraId="4CFB8C3C">
      <w:pPr>
        <w:pStyle w:val="2"/>
        <w:spacing w:line="420" w:lineRule="atLeast"/>
        <w:rPr>
          <w:rFonts w:hint="eastAsia"/>
        </w:rPr>
      </w:pPr>
      <w:r>
        <w:rPr>
          <w:rFonts w:hint="eastAsia"/>
        </w:rPr>
        <w:t>　　（一）对已实施“一户一表”的居民生活用水户，拉大价格级差，调整水量基数，完善一户多人口政策。</w:t>
      </w:r>
    </w:p>
    <w:p w14:paraId="693FCB16">
      <w:pPr>
        <w:pStyle w:val="2"/>
        <w:spacing w:line="420" w:lineRule="atLeast"/>
        <w:rPr>
          <w:rFonts w:hint="eastAsia"/>
        </w:rPr>
      </w:pPr>
      <w:r>
        <w:rPr>
          <w:rFonts w:hint="eastAsia"/>
        </w:rPr>
        <w:t>　　1.拉大居民生活用水阶梯价格级差。居民生活用水第一阶梯、第二阶梯、第三阶梯水价的级差调整为1:1.5:3。</w:t>
      </w:r>
    </w:p>
    <w:p w14:paraId="4F5EFD68">
      <w:pPr>
        <w:pStyle w:val="2"/>
        <w:spacing w:line="420" w:lineRule="atLeast"/>
        <w:rPr>
          <w:rFonts w:hint="eastAsia"/>
        </w:rPr>
      </w:pPr>
      <w:r>
        <w:rPr>
          <w:rFonts w:hint="eastAsia"/>
        </w:rPr>
        <w:t>　　2.调整居民生活用水阶梯水量基数。对于已实行“一户一表”的居民生活用水户执行阶梯水价。人口数4人或以下的居民家庭用水户第一阶梯水量调整为每户每月21立方米及以下；第二阶梯水量调整为每户每月21至27（含）立方米；第三阶梯水量调整为每户每月27立方米以上部分。</w:t>
      </w:r>
    </w:p>
    <w:p w14:paraId="0A2C66A3">
      <w:pPr>
        <w:pStyle w:val="2"/>
        <w:spacing w:line="420" w:lineRule="atLeast"/>
        <w:rPr>
          <w:rFonts w:hint="eastAsia"/>
        </w:rPr>
      </w:pPr>
      <w:r>
        <w:rPr>
          <w:rFonts w:hint="eastAsia"/>
        </w:rPr>
        <w:t>　　3.完善阶梯水价“一户多人口”政策。用水人口超过4人的，每增加一人，第一、第二阶梯水量上限增加5立方米。超过第二阶梯水量上限值的，计入第三阶梯水量。</w:t>
      </w:r>
    </w:p>
    <w:p w14:paraId="646A253F">
      <w:pPr>
        <w:pStyle w:val="2"/>
        <w:spacing w:line="420" w:lineRule="atLeast"/>
        <w:rPr>
          <w:rFonts w:hint="eastAsia"/>
        </w:rPr>
      </w:pPr>
      <w:r>
        <w:rPr>
          <w:rFonts w:hint="eastAsia"/>
        </w:rPr>
        <w:t>　　阶梯水价“一户多人口”政策自申报成功起次月执行，有效期原则上不超过2年。逾期未办理续期手续的，按基础人口数4人计算阶梯水费。</w:t>
      </w:r>
    </w:p>
    <w:p w14:paraId="5723DE44">
      <w:pPr>
        <w:pStyle w:val="2"/>
        <w:spacing w:before="75" w:beforeAutospacing="0" w:line="420" w:lineRule="atLeast"/>
        <w:rPr>
          <w:rFonts w:hint="eastAsia"/>
        </w:rPr>
      </w:pPr>
      <w:r>
        <w:rPr>
          <w:rFonts w:hint="eastAsia"/>
        </w:rPr>
        <w:t>　　4.明确住宅公共用水分摊水量价格标准。为积极推动住宅项目配建户外供水设施维护工作，明确住宅公共用水分摊水量价格标准。住宅消防等公共用水量按户分摊至全体业主，分摊的水量不计入业主阶梯水量，执行居民生活用水第一阶梯价格。为保障住宅公共用水分摊的稳妥实施，具体实施细则由你公司另文明确并抄报市水务局。</w:t>
      </w:r>
    </w:p>
    <w:p w14:paraId="1612C4A0">
      <w:pPr>
        <w:pStyle w:val="2"/>
        <w:spacing w:line="420" w:lineRule="atLeast"/>
        <w:rPr>
          <w:rFonts w:hint="eastAsia"/>
        </w:rPr>
      </w:pPr>
      <w:r>
        <w:rPr>
          <w:rFonts w:hint="eastAsia"/>
        </w:rPr>
        <w:t>　　（二）对于未实行“一户一表，抄表到户”的居民用户、执行居民生活用水价格的非居民用户，执行合表水价。合表水价按居民生活用水第一阶梯价格的110%执行。</w:t>
      </w:r>
    </w:p>
    <w:p w14:paraId="690DF382">
      <w:pPr>
        <w:pStyle w:val="2"/>
        <w:spacing w:line="420" w:lineRule="atLeast"/>
        <w:rPr>
          <w:rFonts w:hint="eastAsia"/>
        </w:rPr>
      </w:pPr>
      <w:r>
        <w:rPr>
          <w:rFonts w:hint="eastAsia"/>
        </w:rPr>
        <w:t>　　</w:t>
      </w:r>
      <w:r>
        <w:rPr>
          <w:rStyle w:val="5"/>
          <w:rFonts w:hint="eastAsia"/>
        </w:rPr>
        <w:t>三、实施非居民用水（含特种用水）超定额（超计划）累进加价制度</w:t>
      </w:r>
    </w:p>
    <w:p w14:paraId="5743A3B5">
      <w:pPr>
        <w:pStyle w:val="2"/>
        <w:spacing w:line="420" w:lineRule="atLeast"/>
        <w:rPr>
          <w:rFonts w:hint="eastAsia"/>
        </w:rPr>
      </w:pPr>
      <w:r>
        <w:rPr>
          <w:rFonts w:hint="eastAsia"/>
        </w:rPr>
        <w:t>　　为发挥价格杠杆的激励约束作用，全面推行非居民用水（含特种用水，下同）超定额（超计划）累进加价制度。非居民用户的单位用水量超出用水定额（通用值）或用水计划的，对超用部分实施累进加价。超定额（超计划）用水20%以内的部分，按分类用户标准水价1倍加价收费；超定额（超计划）用水20%至40%（含）的部分，按分类用户标准水价2倍加价收费；超定额（超计划）用水40%以上的部分，按分类用户标准水价3倍加价收费。</w:t>
      </w:r>
    </w:p>
    <w:p w14:paraId="58EC3CA8">
      <w:pPr>
        <w:pStyle w:val="2"/>
        <w:spacing w:line="420" w:lineRule="atLeast"/>
        <w:jc w:val="center"/>
        <w:rPr>
          <w:rFonts w:hint="eastAsia"/>
        </w:rPr>
      </w:pPr>
      <w:r>
        <w:rPr>
          <w:rStyle w:val="5"/>
          <w:rFonts w:hint="eastAsia"/>
        </w:rPr>
        <w:t>表1 非居民用水超定额（超计划）累进加价标准</w:t>
      </w:r>
    </w:p>
    <w:tbl>
      <w:tblPr>
        <w:tblStyle w:val="3"/>
        <w:tblW w:w="8580" w:type="dxa"/>
        <w:tblInd w:w="0" w:type="dxa"/>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Layout w:type="autofit"/>
        <w:tblCellMar>
          <w:top w:w="0" w:type="dxa"/>
          <w:left w:w="108" w:type="dxa"/>
          <w:bottom w:w="0" w:type="dxa"/>
          <w:right w:w="108" w:type="dxa"/>
        </w:tblCellMar>
      </w:tblPr>
      <w:tblGrid>
        <w:gridCol w:w="1366"/>
        <w:gridCol w:w="4734"/>
        <w:gridCol w:w="2480"/>
      </w:tblGrid>
      <w:tr w14:paraId="0AE254F2">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108" w:type="dxa"/>
            <w:bottom w:w="0" w:type="dxa"/>
            <w:right w:w="108" w:type="dxa"/>
          </w:tblCellMar>
        </w:tblPrEx>
        <w:tc>
          <w:tcPr>
            <w:tcW w:w="796" w:type="pct"/>
            <w:tcBorders>
              <w:top w:val="single" w:color="000000" w:sz="6" w:space="0"/>
              <w:left w:val="single" w:color="000000" w:sz="6" w:space="0"/>
              <w:bottom w:val="single" w:color="000000" w:sz="6" w:space="0"/>
              <w:right w:val="single" w:color="000000" w:sz="6" w:space="0"/>
            </w:tcBorders>
            <w:tcMar>
              <w:top w:w="75" w:type="dxa"/>
              <w:left w:w="150" w:type="dxa"/>
              <w:bottom w:w="75" w:type="dxa"/>
              <w:right w:w="150" w:type="dxa"/>
            </w:tcMar>
            <w:vAlign w:val="center"/>
          </w:tcPr>
          <w:p w14:paraId="79DFD411">
            <w:pPr>
              <w:pStyle w:val="2"/>
              <w:wordWrap w:val="0"/>
              <w:spacing w:line="420" w:lineRule="atLeast"/>
              <w:jc w:val="center"/>
              <w:rPr>
                <w:rFonts w:hint="eastAsia" w:ascii="Times New Roman" w:hAnsi="Times New Roman" w:cs="Times New Roman"/>
                <w:sz w:val="20"/>
                <w:szCs w:val="20"/>
              </w:rPr>
            </w:pPr>
            <w:r>
              <w:rPr>
                <w:rStyle w:val="5"/>
                <w:rFonts w:hint="eastAsia"/>
                <w:sz w:val="20"/>
                <w:szCs w:val="20"/>
              </w:rPr>
              <w:t>序号</w:t>
            </w:r>
          </w:p>
        </w:tc>
        <w:tc>
          <w:tcPr>
            <w:tcW w:w="2758" w:type="pct"/>
            <w:tcBorders>
              <w:top w:val="single" w:color="000000" w:sz="6" w:space="0"/>
              <w:left w:val="single" w:color="000000" w:sz="6" w:space="0"/>
              <w:bottom w:val="single" w:color="000000" w:sz="6" w:space="0"/>
              <w:right w:val="single" w:color="000000" w:sz="6" w:space="0"/>
            </w:tcBorders>
            <w:tcMar>
              <w:top w:w="75" w:type="dxa"/>
              <w:left w:w="150" w:type="dxa"/>
              <w:bottom w:w="75" w:type="dxa"/>
              <w:right w:w="150" w:type="dxa"/>
            </w:tcMar>
            <w:vAlign w:val="center"/>
          </w:tcPr>
          <w:p w14:paraId="1AD7849E">
            <w:pPr>
              <w:pStyle w:val="2"/>
              <w:wordWrap w:val="0"/>
              <w:spacing w:line="420" w:lineRule="atLeast"/>
              <w:jc w:val="center"/>
              <w:rPr>
                <w:rFonts w:ascii="Times New Roman" w:hAnsi="Times New Roman" w:cs="Times New Roman"/>
                <w:sz w:val="20"/>
                <w:szCs w:val="20"/>
              </w:rPr>
            </w:pPr>
            <w:r>
              <w:rPr>
                <w:rStyle w:val="5"/>
                <w:rFonts w:hint="eastAsia"/>
                <w:sz w:val="20"/>
                <w:szCs w:val="20"/>
              </w:rPr>
              <w:t>超定额（超计划）用水量</w:t>
            </w:r>
          </w:p>
        </w:tc>
        <w:tc>
          <w:tcPr>
            <w:tcW w:w="1444" w:type="pct"/>
            <w:tcBorders>
              <w:top w:val="single" w:color="000000" w:sz="6" w:space="0"/>
              <w:left w:val="single" w:color="000000" w:sz="6" w:space="0"/>
              <w:bottom w:val="single" w:color="000000" w:sz="6" w:space="0"/>
              <w:right w:val="single" w:color="000000" w:sz="6" w:space="0"/>
            </w:tcBorders>
            <w:tcMar>
              <w:top w:w="75" w:type="dxa"/>
              <w:left w:w="150" w:type="dxa"/>
              <w:bottom w:w="75" w:type="dxa"/>
              <w:right w:w="150" w:type="dxa"/>
            </w:tcMar>
            <w:vAlign w:val="center"/>
          </w:tcPr>
          <w:p w14:paraId="59075F5D">
            <w:pPr>
              <w:pStyle w:val="2"/>
              <w:wordWrap w:val="0"/>
              <w:spacing w:line="420" w:lineRule="atLeast"/>
              <w:jc w:val="center"/>
              <w:rPr>
                <w:rFonts w:ascii="Times New Roman" w:hAnsi="Times New Roman" w:cs="Times New Roman"/>
                <w:sz w:val="20"/>
                <w:szCs w:val="20"/>
              </w:rPr>
            </w:pPr>
            <w:r>
              <w:rPr>
                <w:rStyle w:val="5"/>
                <w:rFonts w:hint="eastAsia"/>
                <w:sz w:val="20"/>
                <w:szCs w:val="20"/>
              </w:rPr>
              <w:t>加价标准</w:t>
            </w:r>
          </w:p>
        </w:tc>
      </w:tr>
      <w:tr w14:paraId="53A69F48">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108" w:type="dxa"/>
            <w:bottom w:w="0" w:type="dxa"/>
            <w:right w:w="108" w:type="dxa"/>
          </w:tblCellMar>
        </w:tblPrEx>
        <w:tc>
          <w:tcPr>
            <w:tcW w:w="1365" w:type="dxa"/>
            <w:tcBorders>
              <w:top w:val="single" w:color="000000" w:sz="6" w:space="0"/>
              <w:left w:val="single" w:color="000000" w:sz="6" w:space="0"/>
              <w:bottom w:val="single" w:color="000000" w:sz="6" w:space="0"/>
              <w:right w:val="single" w:color="000000" w:sz="6" w:space="0"/>
            </w:tcBorders>
            <w:tcMar>
              <w:top w:w="75" w:type="dxa"/>
              <w:left w:w="150" w:type="dxa"/>
              <w:bottom w:w="75" w:type="dxa"/>
              <w:right w:w="150" w:type="dxa"/>
            </w:tcMar>
            <w:vAlign w:val="center"/>
          </w:tcPr>
          <w:p w14:paraId="27E17972">
            <w:pPr>
              <w:pStyle w:val="2"/>
              <w:wordWrap w:val="0"/>
              <w:spacing w:line="420" w:lineRule="atLeast"/>
              <w:jc w:val="center"/>
              <w:rPr>
                <w:rFonts w:ascii="Times New Roman" w:hAnsi="Times New Roman" w:cs="Times New Roman"/>
                <w:sz w:val="20"/>
                <w:szCs w:val="20"/>
              </w:rPr>
            </w:pPr>
            <w:r>
              <w:rPr>
                <w:rFonts w:hint="eastAsia" w:cs="Times New Roman"/>
                <w:sz w:val="20"/>
                <w:szCs w:val="20"/>
              </w:rPr>
              <w:t>1</w:t>
            </w:r>
          </w:p>
        </w:tc>
        <w:tc>
          <w:tcPr>
            <w:tcW w:w="4725" w:type="dxa"/>
            <w:tcBorders>
              <w:top w:val="single" w:color="000000" w:sz="6" w:space="0"/>
              <w:left w:val="single" w:color="000000" w:sz="6" w:space="0"/>
              <w:bottom w:val="single" w:color="000000" w:sz="6" w:space="0"/>
              <w:right w:val="single" w:color="000000" w:sz="6" w:space="0"/>
            </w:tcBorders>
            <w:tcMar>
              <w:top w:w="75" w:type="dxa"/>
              <w:left w:w="150" w:type="dxa"/>
              <w:bottom w:w="75" w:type="dxa"/>
              <w:right w:w="150" w:type="dxa"/>
            </w:tcMar>
            <w:vAlign w:val="center"/>
          </w:tcPr>
          <w:p w14:paraId="0FFCC05E">
            <w:pPr>
              <w:pStyle w:val="2"/>
              <w:wordWrap w:val="0"/>
              <w:spacing w:line="420" w:lineRule="atLeast"/>
              <w:jc w:val="center"/>
              <w:rPr>
                <w:rFonts w:ascii="Times New Roman" w:hAnsi="Times New Roman" w:cs="Times New Roman"/>
                <w:sz w:val="20"/>
                <w:szCs w:val="20"/>
              </w:rPr>
            </w:pPr>
            <w:r>
              <w:rPr>
                <w:rFonts w:hint="eastAsia" w:cs="Times New Roman"/>
                <w:sz w:val="20"/>
                <w:szCs w:val="20"/>
              </w:rPr>
              <w:t>20%（含）以内的</w:t>
            </w:r>
          </w:p>
        </w:tc>
        <w:tc>
          <w:tcPr>
            <w:tcW w:w="2490" w:type="dxa"/>
            <w:tcBorders>
              <w:top w:val="single" w:color="000000" w:sz="6" w:space="0"/>
              <w:left w:val="single" w:color="000000" w:sz="6" w:space="0"/>
              <w:bottom w:val="single" w:color="000000" w:sz="6" w:space="0"/>
              <w:right w:val="single" w:color="000000" w:sz="6" w:space="0"/>
            </w:tcBorders>
            <w:tcMar>
              <w:top w:w="75" w:type="dxa"/>
              <w:left w:w="150" w:type="dxa"/>
              <w:bottom w:w="75" w:type="dxa"/>
              <w:right w:w="150" w:type="dxa"/>
            </w:tcMar>
            <w:vAlign w:val="center"/>
          </w:tcPr>
          <w:p w14:paraId="6E6C813B">
            <w:pPr>
              <w:pStyle w:val="2"/>
              <w:wordWrap w:val="0"/>
              <w:spacing w:line="420" w:lineRule="atLeast"/>
              <w:jc w:val="center"/>
              <w:rPr>
                <w:rFonts w:ascii="Times New Roman" w:hAnsi="Times New Roman" w:cs="Times New Roman"/>
                <w:sz w:val="20"/>
                <w:szCs w:val="20"/>
              </w:rPr>
            </w:pPr>
            <w:r>
              <w:rPr>
                <w:rFonts w:hint="eastAsia" w:cs="Times New Roman"/>
                <w:sz w:val="20"/>
                <w:szCs w:val="20"/>
              </w:rPr>
              <w:t>100%</w:t>
            </w:r>
          </w:p>
        </w:tc>
      </w:tr>
      <w:tr w14:paraId="51843903">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108" w:type="dxa"/>
            <w:bottom w:w="0" w:type="dxa"/>
            <w:right w:w="108" w:type="dxa"/>
          </w:tblCellMar>
        </w:tblPrEx>
        <w:tc>
          <w:tcPr>
            <w:tcW w:w="1365" w:type="dxa"/>
            <w:tcBorders>
              <w:top w:val="single" w:color="000000" w:sz="6" w:space="0"/>
              <w:left w:val="single" w:color="000000" w:sz="6" w:space="0"/>
              <w:bottom w:val="single" w:color="000000" w:sz="6" w:space="0"/>
              <w:right w:val="single" w:color="000000" w:sz="6" w:space="0"/>
            </w:tcBorders>
            <w:tcMar>
              <w:top w:w="75" w:type="dxa"/>
              <w:left w:w="150" w:type="dxa"/>
              <w:bottom w:w="75" w:type="dxa"/>
              <w:right w:w="150" w:type="dxa"/>
            </w:tcMar>
            <w:vAlign w:val="center"/>
          </w:tcPr>
          <w:p w14:paraId="3A3967E5">
            <w:pPr>
              <w:pStyle w:val="2"/>
              <w:wordWrap w:val="0"/>
              <w:spacing w:line="420" w:lineRule="atLeast"/>
              <w:jc w:val="center"/>
              <w:rPr>
                <w:rFonts w:ascii="Times New Roman" w:hAnsi="Times New Roman" w:cs="Times New Roman"/>
                <w:sz w:val="20"/>
                <w:szCs w:val="20"/>
              </w:rPr>
            </w:pPr>
            <w:r>
              <w:rPr>
                <w:rFonts w:hint="eastAsia" w:cs="Times New Roman"/>
                <w:sz w:val="20"/>
                <w:szCs w:val="20"/>
              </w:rPr>
              <w:t>2</w:t>
            </w:r>
          </w:p>
        </w:tc>
        <w:tc>
          <w:tcPr>
            <w:tcW w:w="4725" w:type="dxa"/>
            <w:tcBorders>
              <w:top w:val="single" w:color="000000" w:sz="6" w:space="0"/>
              <w:left w:val="single" w:color="000000" w:sz="6" w:space="0"/>
              <w:bottom w:val="single" w:color="000000" w:sz="6" w:space="0"/>
              <w:right w:val="single" w:color="000000" w:sz="6" w:space="0"/>
            </w:tcBorders>
            <w:tcMar>
              <w:top w:w="75" w:type="dxa"/>
              <w:left w:w="150" w:type="dxa"/>
              <w:bottom w:w="75" w:type="dxa"/>
              <w:right w:w="150" w:type="dxa"/>
            </w:tcMar>
            <w:vAlign w:val="center"/>
          </w:tcPr>
          <w:p w14:paraId="475394C2">
            <w:pPr>
              <w:pStyle w:val="2"/>
              <w:wordWrap w:val="0"/>
              <w:spacing w:line="420" w:lineRule="atLeast"/>
              <w:jc w:val="center"/>
              <w:rPr>
                <w:rFonts w:ascii="Times New Roman" w:hAnsi="Times New Roman" w:cs="Times New Roman"/>
                <w:sz w:val="20"/>
                <w:szCs w:val="20"/>
              </w:rPr>
            </w:pPr>
            <w:r>
              <w:rPr>
                <w:rFonts w:hint="eastAsia" w:cs="Times New Roman"/>
                <w:sz w:val="20"/>
                <w:szCs w:val="20"/>
              </w:rPr>
              <w:t>20%至40%（含）</w:t>
            </w:r>
          </w:p>
        </w:tc>
        <w:tc>
          <w:tcPr>
            <w:tcW w:w="2490" w:type="dxa"/>
            <w:tcBorders>
              <w:top w:val="single" w:color="000000" w:sz="6" w:space="0"/>
              <w:left w:val="single" w:color="000000" w:sz="6" w:space="0"/>
              <w:bottom w:val="single" w:color="000000" w:sz="6" w:space="0"/>
              <w:right w:val="single" w:color="000000" w:sz="6" w:space="0"/>
            </w:tcBorders>
            <w:tcMar>
              <w:top w:w="75" w:type="dxa"/>
              <w:left w:w="150" w:type="dxa"/>
              <w:bottom w:w="75" w:type="dxa"/>
              <w:right w:w="150" w:type="dxa"/>
            </w:tcMar>
            <w:vAlign w:val="center"/>
          </w:tcPr>
          <w:p w14:paraId="6C7EA4C6">
            <w:pPr>
              <w:pStyle w:val="2"/>
              <w:wordWrap w:val="0"/>
              <w:spacing w:line="420" w:lineRule="atLeast"/>
              <w:jc w:val="center"/>
              <w:rPr>
                <w:rFonts w:ascii="Times New Roman" w:hAnsi="Times New Roman" w:cs="Times New Roman"/>
                <w:sz w:val="20"/>
                <w:szCs w:val="20"/>
              </w:rPr>
            </w:pPr>
            <w:r>
              <w:rPr>
                <w:rFonts w:hint="eastAsia" w:cs="Times New Roman"/>
                <w:sz w:val="20"/>
                <w:szCs w:val="20"/>
              </w:rPr>
              <w:t>200%</w:t>
            </w:r>
          </w:p>
        </w:tc>
      </w:tr>
      <w:tr w14:paraId="32AA6C67">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108" w:type="dxa"/>
            <w:bottom w:w="0" w:type="dxa"/>
            <w:right w:w="108" w:type="dxa"/>
          </w:tblCellMar>
        </w:tblPrEx>
        <w:tc>
          <w:tcPr>
            <w:tcW w:w="1365" w:type="dxa"/>
            <w:tcBorders>
              <w:top w:val="single" w:color="000000" w:sz="6" w:space="0"/>
              <w:left w:val="single" w:color="000000" w:sz="6" w:space="0"/>
              <w:bottom w:val="single" w:color="000000" w:sz="6" w:space="0"/>
              <w:right w:val="single" w:color="000000" w:sz="6" w:space="0"/>
            </w:tcBorders>
            <w:tcMar>
              <w:top w:w="75" w:type="dxa"/>
              <w:left w:w="150" w:type="dxa"/>
              <w:bottom w:w="75" w:type="dxa"/>
              <w:right w:w="150" w:type="dxa"/>
            </w:tcMar>
            <w:vAlign w:val="center"/>
          </w:tcPr>
          <w:p w14:paraId="588C164F">
            <w:pPr>
              <w:pStyle w:val="2"/>
              <w:wordWrap w:val="0"/>
              <w:spacing w:line="420" w:lineRule="atLeast"/>
              <w:jc w:val="center"/>
              <w:rPr>
                <w:rFonts w:ascii="Times New Roman" w:hAnsi="Times New Roman" w:cs="Times New Roman"/>
                <w:sz w:val="20"/>
                <w:szCs w:val="20"/>
              </w:rPr>
            </w:pPr>
            <w:r>
              <w:rPr>
                <w:rFonts w:hint="eastAsia" w:cs="Times New Roman"/>
                <w:sz w:val="20"/>
                <w:szCs w:val="20"/>
              </w:rPr>
              <w:t>3</w:t>
            </w:r>
          </w:p>
        </w:tc>
        <w:tc>
          <w:tcPr>
            <w:tcW w:w="4725" w:type="dxa"/>
            <w:tcBorders>
              <w:top w:val="single" w:color="000000" w:sz="6" w:space="0"/>
              <w:left w:val="single" w:color="000000" w:sz="6" w:space="0"/>
              <w:bottom w:val="single" w:color="000000" w:sz="6" w:space="0"/>
              <w:right w:val="single" w:color="000000" w:sz="6" w:space="0"/>
            </w:tcBorders>
            <w:tcMar>
              <w:top w:w="75" w:type="dxa"/>
              <w:left w:w="150" w:type="dxa"/>
              <w:bottom w:w="75" w:type="dxa"/>
              <w:right w:w="150" w:type="dxa"/>
            </w:tcMar>
            <w:vAlign w:val="center"/>
          </w:tcPr>
          <w:p w14:paraId="1140B5F6">
            <w:pPr>
              <w:pStyle w:val="2"/>
              <w:wordWrap w:val="0"/>
              <w:spacing w:line="420" w:lineRule="atLeast"/>
              <w:jc w:val="center"/>
              <w:rPr>
                <w:rFonts w:ascii="Times New Roman" w:hAnsi="Times New Roman" w:cs="Times New Roman"/>
                <w:sz w:val="20"/>
                <w:szCs w:val="20"/>
              </w:rPr>
            </w:pPr>
            <w:r>
              <w:rPr>
                <w:rFonts w:hint="eastAsia" w:cs="Times New Roman"/>
                <w:sz w:val="20"/>
                <w:szCs w:val="20"/>
              </w:rPr>
              <w:t>40%以上的</w:t>
            </w:r>
          </w:p>
        </w:tc>
        <w:tc>
          <w:tcPr>
            <w:tcW w:w="2490" w:type="dxa"/>
            <w:tcBorders>
              <w:top w:val="single" w:color="000000" w:sz="6" w:space="0"/>
              <w:left w:val="single" w:color="000000" w:sz="6" w:space="0"/>
              <w:bottom w:val="single" w:color="000000" w:sz="6" w:space="0"/>
              <w:right w:val="single" w:color="000000" w:sz="6" w:space="0"/>
            </w:tcBorders>
            <w:tcMar>
              <w:top w:w="75" w:type="dxa"/>
              <w:left w:w="150" w:type="dxa"/>
              <w:bottom w:w="75" w:type="dxa"/>
              <w:right w:w="150" w:type="dxa"/>
            </w:tcMar>
            <w:vAlign w:val="center"/>
          </w:tcPr>
          <w:p w14:paraId="7A914900">
            <w:pPr>
              <w:pStyle w:val="2"/>
              <w:wordWrap w:val="0"/>
              <w:spacing w:line="420" w:lineRule="atLeast"/>
              <w:jc w:val="center"/>
              <w:rPr>
                <w:rFonts w:ascii="Times New Roman" w:hAnsi="Times New Roman" w:cs="Times New Roman"/>
                <w:sz w:val="20"/>
                <w:szCs w:val="20"/>
              </w:rPr>
            </w:pPr>
            <w:r>
              <w:rPr>
                <w:rFonts w:hint="eastAsia" w:cs="Times New Roman"/>
                <w:sz w:val="20"/>
                <w:szCs w:val="20"/>
              </w:rPr>
              <w:t>300%</w:t>
            </w:r>
          </w:p>
        </w:tc>
      </w:tr>
      <w:tr w14:paraId="27AC8304">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108" w:type="dxa"/>
            <w:bottom w:w="0" w:type="dxa"/>
            <w:right w:w="108" w:type="dxa"/>
          </w:tblCellMar>
        </w:tblPrEx>
        <w:tc>
          <w:tcPr>
            <w:tcW w:w="8580" w:type="dxa"/>
            <w:gridSpan w:val="3"/>
            <w:tcBorders>
              <w:top w:val="single" w:color="000000" w:sz="6" w:space="0"/>
              <w:left w:val="single" w:color="000000" w:sz="6" w:space="0"/>
              <w:bottom w:val="single" w:color="000000" w:sz="6" w:space="0"/>
              <w:right w:val="single" w:color="000000" w:sz="6" w:space="0"/>
            </w:tcBorders>
            <w:tcMar>
              <w:top w:w="75" w:type="dxa"/>
              <w:left w:w="150" w:type="dxa"/>
              <w:bottom w:w="75" w:type="dxa"/>
              <w:right w:w="150" w:type="dxa"/>
            </w:tcMar>
            <w:vAlign w:val="center"/>
          </w:tcPr>
          <w:p w14:paraId="4F0D785E">
            <w:pPr>
              <w:pStyle w:val="2"/>
              <w:wordWrap w:val="0"/>
              <w:spacing w:line="420" w:lineRule="atLeast"/>
              <w:rPr>
                <w:rFonts w:ascii="Times New Roman" w:hAnsi="Times New Roman" w:cs="Times New Roman"/>
                <w:sz w:val="20"/>
                <w:szCs w:val="20"/>
              </w:rPr>
            </w:pPr>
            <w:r>
              <w:rPr>
                <w:rFonts w:hint="eastAsia" w:cs="Times New Roman"/>
                <w:sz w:val="20"/>
                <w:szCs w:val="20"/>
              </w:rPr>
              <w:t>备注：</w:t>
            </w:r>
          </w:p>
          <w:p w14:paraId="52CF9CE4">
            <w:pPr>
              <w:pStyle w:val="2"/>
              <w:wordWrap w:val="0"/>
              <w:spacing w:line="420" w:lineRule="atLeast"/>
              <w:rPr>
                <w:rFonts w:ascii="Times New Roman" w:hAnsi="Times New Roman" w:cs="Times New Roman"/>
                <w:sz w:val="20"/>
                <w:szCs w:val="20"/>
              </w:rPr>
            </w:pPr>
            <w:r>
              <w:rPr>
                <w:rFonts w:hint="eastAsia" w:cs="Times New Roman"/>
                <w:sz w:val="20"/>
                <w:szCs w:val="20"/>
              </w:rPr>
              <w:t>1. 非居民（特种用水）超出定额（计划）的用水费用=超过用水定额（计划）20%以内的水量×非居民用水（特种用水）价格×100%+（超过用水定额（计划）20%的水量-超过用水定额（计划）40%的水量）×非居民用水（特种用水）价格×200%+超过用水定额（计划）40%以上的水量×非居民用水（特种用水）价格×300%。</w:t>
            </w:r>
          </w:p>
          <w:p w14:paraId="01C2C281">
            <w:pPr>
              <w:pStyle w:val="2"/>
              <w:wordWrap w:val="0"/>
              <w:spacing w:line="420" w:lineRule="atLeast"/>
              <w:rPr>
                <w:rFonts w:ascii="Times New Roman" w:hAnsi="Times New Roman" w:cs="Times New Roman"/>
                <w:sz w:val="20"/>
                <w:szCs w:val="20"/>
              </w:rPr>
            </w:pPr>
            <w:r>
              <w:rPr>
                <w:rFonts w:hint="eastAsia" w:cs="Times New Roman"/>
                <w:sz w:val="20"/>
                <w:szCs w:val="20"/>
              </w:rPr>
              <w:t>2. 收取超计划用水累进加价费用或超定额累进加价费用，前述两项费用不得重复计收。非居民（特种用水）用户具体适用超计划累进加价或超定额累进加价，按市水务局有关规定执行。</w:t>
            </w:r>
          </w:p>
        </w:tc>
      </w:tr>
    </w:tbl>
    <w:p w14:paraId="202AF41E">
      <w:pPr>
        <w:pStyle w:val="2"/>
        <w:spacing w:line="420" w:lineRule="atLeast"/>
      </w:pPr>
      <w:r>
        <w:rPr>
          <w:rFonts w:hint="eastAsia"/>
        </w:rPr>
        <w:t>　　</w:t>
      </w:r>
      <w:r>
        <w:rPr>
          <w:rStyle w:val="5"/>
          <w:rFonts w:hint="eastAsia"/>
        </w:rPr>
        <w:t>四、建立自来水价格动态调整机制</w:t>
      </w:r>
    </w:p>
    <w:p w14:paraId="2AE3EE34">
      <w:pPr>
        <w:pStyle w:val="2"/>
        <w:spacing w:line="420" w:lineRule="atLeast"/>
        <w:rPr>
          <w:rFonts w:hint="eastAsia"/>
        </w:rPr>
      </w:pPr>
      <w:r>
        <w:rPr>
          <w:rFonts w:hint="eastAsia"/>
        </w:rPr>
        <w:t>　　（一）城镇供水上下游价格联动机制</w:t>
      </w:r>
    </w:p>
    <w:p w14:paraId="0536096D">
      <w:pPr>
        <w:pStyle w:val="2"/>
        <w:spacing w:line="420" w:lineRule="atLeast"/>
        <w:rPr>
          <w:rFonts w:hint="eastAsia"/>
        </w:rPr>
      </w:pPr>
      <w:r>
        <w:rPr>
          <w:rFonts w:hint="eastAsia"/>
        </w:rPr>
        <w:t>　　为及时、有效疏导刚性供水成本，建立与水资源费（税）、原水价格联动的自来水价格机制。当水资源费（税）、原水价格发生调整时，自来水价格按以下联动公式同向联动。由广州市自来水有限公司提出自来水价格调整书面申请，经市发展改革委核定后，报市政府同意后实施联动，不再另行召开听证会。</w:t>
      </w:r>
    </w:p>
    <w:tbl>
      <w:tblPr>
        <w:tblStyle w:val="3"/>
        <w:tblW w:w="8280" w:type="dxa"/>
        <w:tblInd w:w="0" w:type="dxa"/>
        <w:tblLayout w:type="autofit"/>
        <w:tblCellMar>
          <w:top w:w="0" w:type="dxa"/>
          <w:left w:w="108" w:type="dxa"/>
          <w:bottom w:w="0" w:type="dxa"/>
          <w:right w:w="108" w:type="dxa"/>
        </w:tblCellMar>
      </w:tblPr>
      <w:tblGrid>
        <w:gridCol w:w="2759"/>
        <w:gridCol w:w="3273"/>
        <w:gridCol w:w="2248"/>
      </w:tblGrid>
      <w:tr w14:paraId="67FF0833">
        <w:tblPrEx>
          <w:tblCellMar>
            <w:top w:w="0" w:type="dxa"/>
            <w:left w:w="108" w:type="dxa"/>
            <w:bottom w:w="0" w:type="dxa"/>
            <w:right w:w="108" w:type="dxa"/>
          </w:tblCellMar>
        </w:tblPrEx>
        <w:tc>
          <w:tcPr>
            <w:tcW w:w="1666" w:type="pct"/>
            <w:vMerge w:val="restart"/>
            <w:tcMar>
              <w:top w:w="75" w:type="dxa"/>
              <w:left w:w="105" w:type="dxa"/>
              <w:bottom w:w="75" w:type="dxa"/>
              <w:right w:w="105" w:type="dxa"/>
            </w:tcMar>
            <w:vAlign w:val="center"/>
          </w:tcPr>
          <w:p w14:paraId="0514477C">
            <w:pPr>
              <w:pStyle w:val="2"/>
              <w:wordWrap w:val="0"/>
              <w:spacing w:line="420" w:lineRule="atLeast"/>
              <w:jc w:val="right"/>
              <w:rPr>
                <w:rFonts w:hint="eastAsia" w:ascii="Times New Roman" w:hAnsi="Times New Roman" w:cs="Times New Roman"/>
                <w:sz w:val="20"/>
                <w:szCs w:val="20"/>
              </w:rPr>
            </w:pPr>
            <w:r>
              <w:rPr>
                <w:rFonts w:hint="eastAsia" w:cs="Times New Roman"/>
                <w:sz w:val="20"/>
                <w:szCs w:val="20"/>
              </w:rPr>
              <w:t>水价联动调整额=</w:t>
            </w:r>
          </w:p>
        </w:tc>
        <w:tc>
          <w:tcPr>
            <w:tcW w:w="1976" w:type="pct"/>
            <w:tcBorders>
              <w:top w:val="nil"/>
              <w:left w:val="nil"/>
              <w:bottom w:val="single" w:color="000000" w:sz="8" w:space="0"/>
              <w:right w:val="nil"/>
            </w:tcBorders>
            <w:tcMar>
              <w:top w:w="75" w:type="dxa"/>
              <w:left w:w="105" w:type="dxa"/>
              <w:bottom w:w="75" w:type="dxa"/>
              <w:right w:w="105" w:type="dxa"/>
            </w:tcMar>
            <w:vAlign w:val="center"/>
          </w:tcPr>
          <w:p w14:paraId="76070BF4">
            <w:pPr>
              <w:pStyle w:val="2"/>
              <w:wordWrap w:val="0"/>
              <w:spacing w:line="420" w:lineRule="atLeast"/>
              <w:jc w:val="center"/>
              <w:rPr>
                <w:rFonts w:ascii="Times New Roman" w:hAnsi="Times New Roman" w:cs="Times New Roman"/>
                <w:sz w:val="20"/>
                <w:szCs w:val="20"/>
              </w:rPr>
            </w:pPr>
            <w:r>
              <w:rPr>
                <w:rFonts w:hint="eastAsia" w:cs="Times New Roman"/>
                <w:sz w:val="20"/>
                <w:szCs w:val="20"/>
              </w:rPr>
              <w:t>Σ ΔP</w:t>
            </w:r>
            <w:r>
              <w:rPr>
                <w:rFonts w:hint="eastAsia" w:cs="Times New Roman"/>
                <w:sz w:val="20"/>
                <w:szCs w:val="20"/>
                <w:vertAlign w:val="subscript"/>
              </w:rPr>
              <w:t>i</w:t>
            </w:r>
            <w:r>
              <w:rPr>
                <w:rFonts w:hint="eastAsia" w:cs="Times New Roman"/>
                <w:sz w:val="20"/>
                <w:szCs w:val="20"/>
              </w:rPr>
              <w:t>×T</w:t>
            </w:r>
            <w:r>
              <w:rPr>
                <w:rFonts w:hint="eastAsia" w:cs="Times New Roman"/>
                <w:sz w:val="20"/>
                <w:szCs w:val="20"/>
                <w:vertAlign w:val="subscript"/>
              </w:rPr>
              <w:t>i</w:t>
            </w:r>
            <w:r>
              <w:rPr>
                <w:rFonts w:hint="eastAsia" w:cs="Times New Roman"/>
                <w:sz w:val="20"/>
                <w:szCs w:val="20"/>
              </w:rPr>
              <w:t>+Σ ΔR</w:t>
            </w:r>
            <w:r>
              <w:rPr>
                <w:rFonts w:hint="eastAsia" w:cs="Times New Roman"/>
                <w:sz w:val="20"/>
                <w:szCs w:val="20"/>
                <w:vertAlign w:val="subscript"/>
              </w:rPr>
              <w:t>i</w:t>
            </w:r>
            <w:r>
              <w:rPr>
                <w:rFonts w:hint="eastAsia" w:cs="Times New Roman"/>
                <w:sz w:val="20"/>
                <w:szCs w:val="20"/>
              </w:rPr>
              <w:t>×S</w:t>
            </w:r>
            <w:r>
              <w:rPr>
                <w:rFonts w:hint="eastAsia" w:cs="Times New Roman"/>
                <w:sz w:val="20"/>
                <w:szCs w:val="20"/>
                <w:vertAlign w:val="subscript"/>
              </w:rPr>
              <w:t>i</w:t>
            </w:r>
          </w:p>
        </w:tc>
        <w:tc>
          <w:tcPr>
            <w:tcW w:w="1357" w:type="pct"/>
            <w:vMerge w:val="restart"/>
            <w:tcMar>
              <w:top w:w="75" w:type="dxa"/>
              <w:left w:w="105" w:type="dxa"/>
              <w:bottom w:w="75" w:type="dxa"/>
              <w:right w:w="105" w:type="dxa"/>
            </w:tcMar>
            <w:vAlign w:val="center"/>
          </w:tcPr>
          <w:p w14:paraId="07627A6B">
            <w:pPr>
              <w:pStyle w:val="2"/>
              <w:wordWrap w:val="0"/>
              <w:spacing w:line="420" w:lineRule="atLeast"/>
              <w:rPr>
                <w:rFonts w:ascii="Times New Roman" w:hAnsi="Times New Roman" w:cs="Times New Roman"/>
                <w:sz w:val="20"/>
                <w:szCs w:val="20"/>
              </w:rPr>
            </w:pPr>
            <w:r>
              <w:rPr>
                <w:rFonts w:hint="eastAsia" w:cs="Times New Roman"/>
                <w:sz w:val="20"/>
                <w:szCs w:val="20"/>
              </w:rPr>
              <w:t>×（1+税率）</w:t>
            </w:r>
          </w:p>
        </w:tc>
      </w:tr>
      <w:tr w14:paraId="566FD819">
        <w:tblPrEx>
          <w:tblCellMar>
            <w:top w:w="0" w:type="dxa"/>
            <w:left w:w="108" w:type="dxa"/>
            <w:bottom w:w="0" w:type="dxa"/>
            <w:right w:w="108" w:type="dxa"/>
          </w:tblCellMar>
        </w:tblPrEx>
        <w:tc>
          <w:tcPr>
            <w:tcW w:w="0" w:type="auto"/>
            <w:vMerge w:val="continue"/>
            <w:vAlign w:val="center"/>
          </w:tcPr>
          <w:p w14:paraId="3DEA889C">
            <w:pPr>
              <w:rPr>
                <w:rFonts w:ascii="Times New Roman" w:hAnsi="Times New Roman" w:cs="Times New Roman"/>
                <w:sz w:val="20"/>
                <w:szCs w:val="20"/>
              </w:rPr>
            </w:pPr>
          </w:p>
        </w:tc>
        <w:tc>
          <w:tcPr>
            <w:tcW w:w="3270" w:type="dxa"/>
            <w:tcMar>
              <w:top w:w="75" w:type="dxa"/>
              <w:left w:w="105" w:type="dxa"/>
              <w:bottom w:w="75" w:type="dxa"/>
              <w:right w:w="105" w:type="dxa"/>
            </w:tcMar>
            <w:vAlign w:val="center"/>
          </w:tcPr>
          <w:p w14:paraId="69879AB7">
            <w:pPr>
              <w:pStyle w:val="2"/>
              <w:wordWrap w:val="0"/>
              <w:spacing w:line="420" w:lineRule="atLeast"/>
              <w:jc w:val="center"/>
              <w:rPr>
                <w:rFonts w:ascii="Times New Roman" w:hAnsi="Times New Roman" w:cs="Times New Roman"/>
                <w:sz w:val="20"/>
                <w:szCs w:val="20"/>
              </w:rPr>
            </w:pPr>
            <w:r>
              <w:rPr>
                <w:rFonts w:hint="eastAsia" w:cs="Times New Roman"/>
                <w:sz w:val="20"/>
                <w:szCs w:val="20"/>
              </w:rPr>
              <w:t>计价水量</w:t>
            </w:r>
          </w:p>
        </w:tc>
        <w:tc>
          <w:tcPr>
            <w:tcW w:w="0" w:type="auto"/>
            <w:vMerge w:val="continue"/>
            <w:vAlign w:val="center"/>
          </w:tcPr>
          <w:p w14:paraId="12475AB7">
            <w:pPr>
              <w:rPr>
                <w:rFonts w:ascii="Times New Roman" w:hAnsi="Times New Roman" w:cs="Times New Roman"/>
                <w:sz w:val="20"/>
                <w:szCs w:val="20"/>
              </w:rPr>
            </w:pPr>
          </w:p>
        </w:tc>
      </w:tr>
    </w:tbl>
    <w:p w14:paraId="1BC22B13">
      <w:pPr>
        <w:pStyle w:val="2"/>
        <w:spacing w:line="420" w:lineRule="atLeast"/>
      </w:pPr>
      <w:r>
        <w:rPr>
          <w:rFonts w:hint="eastAsia"/>
        </w:rPr>
        <w:t>　　说明：</w:t>
      </w:r>
    </w:p>
    <w:p w14:paraId="02FB3247">
      <w:pPr>
        <w:pStyle w:val="2"/>
        <w:spacing w:line="420" w:lineRule="atLeast"/>
        <w:rPr>
          <w:rFonts w:hint="eastAsia"/>
        </w:rPr>
      </w:pPr>
      <w:r>
        <w:rPr>
          <w:rFonts w:hint="eastAsia"/>
        </w:rPr>
        <w:t>　　1.ΔPi表示各类原水价格标准调整额，即：调整后的原水价格－调整前的原水价格；Ti表示上年度各类原水采购量；ΔRi表示各类水资源费（税）标准调整额，即：调整后的水资源费（税）征收标准－调整前的水资源费（税）征收标准；Si表示上年度各类水资源费（税）计缴水量基数。</w:t>
      </w:r>
    </w:p>
    <w:p w14:paraId="79C46E02">
      <w:pPr>
        <w:pStyle w:val="2"/>
        <w:spacing w:line="420" w:lineRule="atLeast"/>
        <w:rPr>
          <w:rFonts w:hint="eastAsia"/>
        </w:rPr>
      </w:pPr>
      <w:r>
        <w:rPr>
          <w:rFonts w:hint="eastAsia"/>
        </w:rPr>
        <w:t>　　2.税率为增值税、城建税及教育费附加的综合水平。</w:t>
      </w:r>
    </w:p>
    <w:p w14:paraId="7FBD46F9">
      <w:pPr>
        <w:pStyle w:val="2"/>
        <w:spacing w:line="420" w:lineRule="atLeast"/>
        <w:rPr>
          <w:rFonts w:hint="eastAsia"/>
        </w:rPr>
      </w:pPr>
      <w:r>
        <w:rPr>
          <w:rFonts w:hint="eastAsia"/>
        </w:rPr>
        <w:t>　　3.当上一年度实际供水量不低于设计供水量的65%时，计价水量=上一年度核定供水量；当上一年度实际供水量低于设计供水量的65%时，计价水量={上一年度核定供水量÷[上一年度实际供水量÷（设计供水量×65%）]}。其中，上一年度核定供水量=上一年度取水量×（1-自用水率）×（1-漏损率）。</w:t>
      </w:r>
    </w:p>
    <w:p w14:paraId="1B58C628">
      <w:pPr>
        <w:pStyle w:val="2"/>
        <w:spacing w:line="420" w:lineRule="atLeast"/>
        <w:rPr>
          <w:rFonts w:hint="eastAsia"/>
        </w:rPr>
      </w:pPr>
      <w:r>
        <w:rPr>
          <w:rFonts w:hint="eastAsia"/>
        </w:rPr>
        <w:t>　　（二）周期监管机制</w:t>
      </w:r>
    </w:p>
    <w:p w14:paraId="37B69E36">
      <w:pPr>
        <w:pStyle w:val="2"/>
        <w:spacing w:line="420" w:lineRule="atLeast"/>
        <w:rPr>
          <w:rFonts w:hint="eastAsia"/>
        </w:rPr>
      </w:pPr>
      <w:r>
        <w:rPr>
          <w:rFonts w:hint="eastAsia"/>
        </w:rPr>
        <w:t>　　市发展改革委每3年开展一次成本监审工作。当剔除原水价格、水资源费（税）因素后，供水成本相比上一轮监管周期波动幅度超过20%时，由广州市自来水有限公司提出自来水价格调整书面建议，由市发展改革委结合各方意见建议综合评估后，启动调价工作，按程序报市政府同意后实施。累计幅度未达到20%时不调价，纳入下一自来水价格监管周期。下一轮以后各监管周期的供水成本波动幅度阈值，结合相应供水规划明确。</w:t>
      </w:r>
    </w:p>
    <w:p w14:paraId="73E04180">
      <w:pPr>
        <w:pStyle w:val="2"/>
        <w:spacing w:line="420" w:lineRule="atLeast"/>
        <w:rPr>
          <w:rFonts w:hint="eastAsia"/>
        </w:rPr>
      </w:pPr>
      <w:r>
        <w:rPr>
          <w:rFonts w:hint="eastAsia"/>
        </w:rPr>
        <w:t>　　</w:t>
      </w:r>
      <w:r>
        <w:rPr>
          <w:rStyle w:val="5"/>
          <w:rFonts w:hint="eastAsia"/>
        </w:rPr>
        <w:t>五、调整后的自来水价格标准</w:t>
      </w:r>
    </w:p>
    <w:p w14:paraId="7D3DBB11">
      <w:pPr>
        <w:pStyle w:val="2"/>
        <w:spacing w:line="420" w:lineRule="atLeast"/>
        <w:rPr>
          <w:rFonts w:hint="eastAsia"/>
        </w:rPr>
      </w:pPr>
      <w:r>
        <w:rPr>
          <w:rFonts w:hint="eastAsia"/>
        </w:rPr>
        <w:t>　　我市用水分为居民生活用水、非居民生活用水、特种用水三个类别，具体价格标准详见下表：</w:t>
      </w:r>
    </w:p>
    <w:p w14:paraId="443E66D9">
      <w:pPr>
        <w:pStyle w:val="2"/>
        <w:spacing w:line="420" w:lineRule="atLeast"/>
        <w:jc w:val="center"/>
        <w:rPr>
          <w:rFonts w:hint="eastAsia"/>
        </w:rPr>
      </w:pPr>
      <w:r>
        <w:rPr>
          <w:rStyle w:val="5"/>
          <w:rFonts w:hint="eastAsia"/>
        </w:rPr>
        <w:t>表2 广州市中心城区自来水价格表</w:t>
      </w:r>
    </w:p>
    <w:p w14:paraId="28FC6D6C">
      <w:pPr>
        <w:pStyle w:val="2"/>
        <w:spacing w:line="420" w:lineRule="atLeast"/>
        <w:jc w:val="center"/>
        <w:rPr>
          <w:rFonts w:hint="eastAsia"/>
        </w:rPr>
      </w:pPr>
      <w:r>
        <w:rPr>
          <w:rFonts w:hint="eastAsia"/>
        </w:rPr>
        <w:t>                                                                                            单位：元/立方米</w:t>
      </w:r>
    </w:p>
    <w:tbl>
      <w:tblPr>
        <w:tblStyle w:val="3"/>
        <w:tblW w:w="8715" w:type="dxa"/>
        <w:tblInd w:w="0" w:type="dxa"/>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Layout w:type="autofit"/>
        <w:tblCellMar>
          <w:top w:w="0" w:type="dxa"/>
          <w:left w:w="108" w:type="dxa"/>
          <w:bottom w:w="0" w:type="dxa"/>
          <w:right w:w="108" w:type="dxa"/>
        </w:tblCellMar>
      </w:tblPr>
      <w:tblGrid>
        <w:gridCol w:w="1189"/>
        <w:gridCol w:w="1686"/>
        <w:gridCol w:w="4651"/>
        <w:gridCol w:w="1189"/>
      </w:tblGrid>
      <w:tr w14:paraId="73ED84AD">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108" w:type="dxa"/>
            <w:bottom w:w="0" w:type="dxa"/>
            <w:right w:w="108" w:type="dxa"/>
          </w:tblCellMar>
        </w:tblPrEx>
        <w:tc>
          <w:tcPr>
            <w:tcW w:w="682" w:type="pct"/>
            <w:tcBorders>
              <w:top w:val="single" w:color="000000" w:sz="6" w:space="0"/>
              <w:left w:val="single" w:color="000000" w:sz="6" w:space="0"/>
              <w:bottom w:val="single" w:color="000000" w:sz="6" w:space="0"/>
              <w:right w:val="single" w:color="000000" w:sz="6" w:space="0"/>
            </w:tcBorders>
            <w:tcMar>
              <w:top w:w="75" w:type="dxa"/>
              <w:left w:w="105" w:type="dxa"/>
              <w:bottom w:w="75" w:type="dxa"/>
              <w:right w:w="105" w:type="dxa"/>
            </w:tcMar>
            <w:vAlign w:val="center"/>
          </w:tcPr>
          <w:p w14:paraId="76FE92DC">
            <w:pPr>
              <w:pStyle w:val="2"/>
              <w:wordWrap w:val="0"/>
              <w:spacing w:line="420" w:lineRule="atLeast"/>
              <w:jc w:val="center"/>
              <w:rPr>
                <w:rFonts w:hint="eastAsia" w:ascii="Times New Roman" w:hAnsi="Times New Roman" w:cs="Times New Roman"/>
                <w:sz w:val="20"/>
                <w:szCs w:val="20"/>
              </w:rPr>
            </w:pPr>
            <w:r>
              <w:rPr>
                <w:rStyle w:val="5"/>
                <w:rFonts w:hint="eastAsia"/>
                <w:sz w:val="20"/>
                <w:szCs w:val="20"/>
              </w:rPr>
              <w:t>序号</w:t>
            </w:r>
          </w:p>
        </w:tc>
        <w:tc>
          <w:tcPr>
            <w:tcW w:w="3635" w:type="pct"/>
            <w:gridSpan w:val="2"/>
            <w:tcBorders>
              <w:top w:val="single" w:color="000000" w:sz="6" w:space="0"/>
              <w:left w:val="single" w:color="000000" w:sz="6" w:space="0"/>
              <w:bottom w:val="single" w:color="000000" w:sz="6" w:space="0"/>
              <w:right w:val="single" w:color="000000" w:sz="6" w:space="0"/>
            </w:tcBorders>
            <w:tcMar>
              <w:top w:w="75" w:type="dxa"/>
              <w:left w:w="105" w:type="dxa"/>
              <w:bottom w:w="75" w:type="dxa"/>
              <w:right w:w="105" w:type="dxa"/>
            </w:tcMar>
            <w:vAlign w:val="center"/>
          </w:tcPr>
          <w:p w14:paraId="1F54FED4">
            <w:pPr>
              <w:pStyle w:val="2"/>
              <w:wordWrap w:val="0"/>
              <w:spacing w:line="420" w:lineRule="atLeast"/>
              <w:jc w:val="center"/>
              <w:rPr>
                <w:rFonts w:ascii="Times New Roman" w:hAnsi="Times New Roman" w:cs="Times New Roman"/>
                <w:sz w:val="20"/>
                <w:szCs w:val="20"/>
              </w:rPr>
            </w:pPr>
            <w:r>
              <w:rPr>
                <w:rStyle w:val="5"/>
                <w:rFonts w:hint="eastAsia"/>
                <w:sz w:val="20"/>
                <w:szCs w:val="20"/>
              </w:rPr>
              <w:t>用水类别</w:t>
            </w:r>
          </w:p>
        </w:tc>
        <w:tc>
          <w:tcPr>
            <w:tcW w:w="682" w:type="pct"/>
            <w:tcBorders>
              <w:top w:val="single" w:color="000000" w:sz="6" w:space="0"/>
              <w:left w:val="single" w:color="000000" w:sz="6" w:space="0"/>
              <w:bottom w:val="single" w:color="000000" w:sz="6" w:space="0"/>
              <w:right w:val="single" w:color="000000" w:sz="6" w:space="0"/>
            </w:tcBorders>
            <w:tcMar>
              <w:top w:w="75" w:type="dxa"/>
              <w:left w:w="105" w:type="dxa"/>
              <w:bottom w:w="75" w:type="dxa"/>
              <w:right w:w="105" w:type="dxa"/>
            </w:tcMar>
            <w:vAlign w:val="center"/>
          </w:tcPr>
          <w:p w14:paraId="1AC0DD11">
            <w:pPr>
              <w:pStyle w:val="2"/>
              <w:wordWrap w:val="0"/>
              <w:spacing w:line="420" w:lineRule="atLeast"/>
              <w:jc w:val="center"/>
              <w:rPr>
                <w:rFonts w:ascii="Times New Roman" w:hAnsi="Times New Roman" w:cs="Times New Roman"/>
                <w:sz w:val="20"/>
                <w:szCs w:val="20"/>
              </w:rPr>
            </w:pPr>
            <w:r>
              <w:rPr>
                <w:rStyle w:val="5"/>
                <w:rFonts w:hint="eastAsia"/>
                <w:sz w:val="20"/>
                <w:szCs w:val="20"/>
              </w:rPr>
              <w:t>价格</w:t>
            </w:r>
          </w:p>
        </w:tc>
      </w:tr>
      <w:tr w14:paraId="5D86FBA9">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108" w:type="dxa"/>
            <w:bottom w:w="0" w:type="dxa"/>
            <w:right w:w="108" w:type="dxa"/>
          </w:tblCellMar>
        </w:tblPrEx>
        <w:tc>
          <w:tcPr>
            <w:tcW w:w="1200" w:type="dxa"/>
            <w:tcBorders>
              <w:top w:val="single" w:color="000000" w:sz="6" w:space="0"/>
              <w:left w:val="single" w:color="000000" w:sz="6" w:space="0"/>
              <w:bottom w:val="single" w:color="000000" w:sz="6" w:space="0"/>
              <w:right w:val="single" w:color="000000" w:sz="6" w:space="0"/>
            </w:tcBorders>
            <w:tcMar>
              <w:top w:w="75" w:type="dxa"/>
              <w:left w:w="105" w:type="dxa"/>
              <w:bottom w:w="75" w:type="dxa"/>
              <w:right w:w="105" w:type="dxa"/>
            </w:tcMar>
            <w:vAlign w:val="center"/>
          </w:tcPr>
          <w:p w14:paraId="7A07E731">
            <w:pPr>
              <w:pStyle w:val="2"/>
              <w:wordWrap w:val="0"/>
              <w:spacing w:line="420" w:lineRule="atLeast"/>
              <w:jc w:val="center"/>
              <w:rPr>
                <w:rFonts w:ascii="Times New Roman" w:hAnsi="Times New Roman" w:cs="Times New Roman"/>
                <w:sz w:val="20"/>
                <w:szCs w:val="20"/>
              </w:rPr>
            </w:pPr>
            <w:r>
              <w:rPr>
                <w:rFonts w:hint="eastAsia" w:cs="Times New Roman"/>
                <w:sz w:val="20"/>
                <w:szCs w:val="20"/>
              </w:rPr>
              <w:t>1</w:t>
            </w:r>
          </w:p>
        </w:tc>
        <w:tc>
          <w:tcPr>
            <w:tcW w:w="1680" w:type="dxa"/>
            <w:vMerge w:val="restart"/>
            <w:tcBorders>
              <w:top w:val="single" w:color="000000" w:sz="6" w:space="0"/>
              <w:left w:val="single" w:color="000000" w:sz="6" w:space="0"/>
              <w:bottom w:val="single" w:color="000000" w:sz="6" w:space="0"/>
              <w:right w:val="single" w:color="000000" w:sz="6" w:space="0"/>
            </w:tcBorders>
            <w:tcMar>
              <w:top w:w="75" w:type="dxa"/>
              <w:left w:w="105" w:type="dxa"/>
              <w:bottom w:w="75" w:type="dxa"/>
              <w:right w:w="105" w:type="dxa"/>
            </w:tcMar>
            <w:vAlign w:val="center"/>
          </w:tcPr>
          <w:p w14:paraId="1C3D36DE">
            <w:pPr>
              <w:pStyle w:val="2"/>
              <w:wordWrap w:val="0"/>
              <w:spacing w:line="420" w:lineRule="atLeast"/>
              <w:rPr>
                <w:rFonts w:ascii="Times New Roman" w:hAnsi="Times New Roman" w:cs="Times New Roman"/>
                <w:sz w:val="20"/>
                <w:szCs w:val="20"/>
              </w:rPr>
            </w:pPr>
            <w:r>
              <w:rPr>
                <w:rFonts w:hint="eastAsia" w:cs="Times New Roman"/>
                <w:sz w:val="20"/>
                <w:szCs w:val="20"/>
              </w:rPr>
              <w:t>居民生活用水</w:t>
            </w:r>
          </w:p>
        </w:tc>
        <w:tc>
          <w:tcPr>
            <w:tcW w:w="4635" w:type="dxa"/>
            <w:tcBorders>
              <w:top w:val="single" w:color="000000" w:sz="6" w:space="0"/>
              <w:left w:val="single" w:color="000000" w:sz="6" w:space="0"/>
              <w:bottom w:val="single" w:color="000000" w:sz="6" w:space="0"/>
              <w:right w:val="single" w:color="000000" w:sz="6" w:space="0"/>
            </w:tcBorders>
            <w:tcMar>
              <w:top w:w="75" w:type="dxa"/>
              <w:left w:w="105" w:type="dxa"/>
              <w:bottom w:w="75" w:type="dxa"/>
              <w:right w:w="105" w:type="dxa"/>
            </w:tcMar>
            <w:vAlign w:val="center"/>
          </w:tcPr>
          <w:p w14:paraId="736EA40F">
            <w:pPr>
              <w:pStyle w:val="2"/>
              <w:wordWrap w:val="0"/>
              <w:spacing w:line="420" w:lineRule="atLeast"/>
              <w:rPr>
                <w:rFonts w:ascii="Times New Roman" w:hAnsi="Times New Roman" w:cs="Times New Roman"/>
                <w:sz w:val="20"/>
                <w:szCs w:val="20"/>
              </w:rPr>
            </w:pPr>
            <w:r>
              <w:rPr>
                <w:rFonts w:hint="eastAsia" w:cs="Times New Roman"/>
                <w:sz w:val="20"/>
                <w:szCs w:val="20"/>
              </w:rPr>
              <w:t>第一阶梯（每户每月21立方米及以下部分）</w:t>
            </w:r>
          </w:p>
        </w:tc>
        <w:tc>
          <w:tcPr>
            <w:tcW w:w="1185" w:type="dxa"/>
            <w:tcBorders>
              <w:top w:val="single" w:color="000000" w:sz="6" w:space="0"/>
              <w:left w:val="single" w:color="000000" w:sz="6" w:space="0"/>
              <w:bottom w:val="single" w:color="000000" w:sz="6" w:space="0"/>
              <w:right w:val="single" w:color="000000" w:sz="6" w:space="0"/>
            </w:tcBorders>
            <w:tcMar>
              <w:top w:w="75" w:type="dxa"/>
              <w:left w:w="105" w:type="dxa"/>
              <w:bottom w:w="75" w:type="dxa"/>
              <w:right w:w="105" w:type="dxa"/>
            </w:tcMar>
            <w:vAlign w:val="center"/>
          </w:tcPr>
          <w:p w14:paraId="7698C33D">
            <w:pPr>
              <w:pStyle w:val="2"/>
              <w:wordWrap w:val="0"/>
              <w:spacing w:line="420" w:lineRule="atLeast"/>
              <w:jc w:val="center"/>
              <w:rPr>
                <w:rFonts w:ascii="Times New Roman" w:hAnsi="Times New Roman" w:cs="Times New Roman"/>
                <w:sz w:val="20"/>
                <w:szCs w:val="20"/>
              </w:rPr>
            </w:pPr>
            <w:r>
              <w:rPr>
                <w:rFonts w:hint="eastAsia" w:cs="Times New Roman"/>
                <w:sz w:val="20"/>
                <w:szCs w:val="20"/>
              </w:rPr>
              <w:t>2.55</w:t>
            </w:r>
          </w:p>
        </w:tc>
      </w:tr>
      <w:tr w14:paraId="325AE49A">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108" w:type="dxa"/>
            <w:bottom w:w="0" w:type="dxa"/>
            <w:right w:w="108" w:type="dxa"/>
          </w:tblCellMar>
        </w:tblPrEx>
        <w:tc>
          <w:tcPr>
            <w:tcW w:w="1200" w:type="dxa"/>
            <w:tcBorders>
              <w:top w:val="single" w:color="000000" w:sz="6" w:space="0"/>
              <w:left w:val="single" w:color="000000" w:sz="6" w:space="0"/>
              <w:bottom w:val="single" w:color="000000" w:sz="6" w:space="0"/>
              <w:right w:val="single" w:color="000000" w:sz="6" w:space="0"/>
            </w:tcBorders>
            <w:tcMar>
              <w:top w:w="75" w:type="dxa"/>
              <w:left w:w="105" w:type="dxa"/>
              <w:bottom w:w="75" w:type="dxa"/>
              <w:right w:w="105" w:type="dxa"/>
            </w:tcMar>
            <w:vAlign w:val="center"/>
          </w:tcPr>
          <w:p w14:paraId="1E717004">
            <w:pPr>
              <w:pStyle w:val="2"/>
              <w:wordWrap w:val="0"/>
              <w:spacing w:line="420" w:lineRule="atLeast"/>
              <w:jc w:val="center"/>
              <w:rPr>
                <w:rFonts w:ascii="Times New Roman" w:hAnsi="Times New Roman" w:cs="Times New Roman"/>
                <w:sz w:val="20"/>
                <w:szCs w:val="20"/>
              </w:rPr>
            </w:pPr>
            <w:r>
              <w:rPr>
                <w:rFonts w:hint="eastAsia" w:cs="Times New Roman"/>
                <w:sz w:val="20"/>
                <w:szCs w:val="20"/>
              </w:rPr>
              <w:t>2</w:t>
            </w:r>
          </w:p>
        </w:tc>
        <w:tc>
          <w:tcPr>
            <w:tcW w:w="0" w:type="auto"/>
            <w:vMerge w:val="continue"/>
            <w:tcBorders>
              <w:top w:val="single" w:color="000000" w:sz="6" w:space="0"/>
              <w:left w:val="single" w:color="000000" w:sz="6" w:space="0"/>
              <w:bottom w:val="single" w:color="000000" w:sz="6" w:space="0"/>
              <w:right w:val="single" w:color="000000" w:sz="6" w:space="0"/>
            </w:tcBorders>
            <w:vAlign w:val="center"/>
          </w:tcPr>
          <w:p w14:paraId="00E31955">
            <w:pPr>
              <w:rPr>
                <w:rFonts w:ascii="Times New Roman" w:hAnsi="Times New Roman" w:cs="Times New Roman"/>
                <w:sz w:val="20"/>
                <w:szCs w:val="20"/>
              </w:rPr>
            </w:pPr>
          </w:p>
        </w:tc>
        <w:tc>
          <w:tcPr>
            <w:tcW w:w="4635" w:type="dxa"/>
            <w:tcBorders>
              <w:top w:val="single" w:color="000000" w:sz="6" w:space="0"/>
              <w:left w:val="single" w:color="000000" w:sz="6" w:space="0"/>
              <w:bottom w:val="single" w:color="000000" w:sz="6" w:space="0"/>
              <w:right w:val="single" w:color="000000" w:sz="6" w:space="0"/>
            </w:tcBorders>
            <w:tcMar>
              <w:top w:w="75" w:type="dxa"/>
              <w:left w:w="105" w:type="dxa"/>
              <w:bottom w:w="75" w:type="dxa"/>
              <w:right w:w="105" w:type="dxa"/>
            </w:tcMar>
            <w:vAlign w:val="center"/>
          </w:tcPr>
          <w:p w14:paraId="234F771F">
            <w:pPr>
              <w:pStyle w:val="2"/>
              <w:wordWrap w:val="0"/>
              <w:spacing w:line="420" w:lineRule="atLeast"/>
              <w:rPr>
                <w:rFonts w:ascii="Times New Roman" w:hAnsi="Times New Roman" w:cs="Times New Roman"/>
                <w:sz w:val="20"/>
                <w:szCs w:val="20"/>
              </w:rPr>
            </w:pPr>
            <w:r>
              <w:rPr>
                <w:rFonts w:hint="eastAsia" w:cs="Times New Roman"/>
                <w:sz w:val="20"/>
                <w:szCs w:val="20"/>
              </w:rPr>
              <w:t>第二阶梯（每户每月21至27（含）立方米部分）</w:t>
            </w:r>
          </w:p>
        </w:tc>
        <w:tc>
          <w:tcPr>
            <w:tcW w:w="1185" w:type="dxa"/>
            <w:tcBorders>
              <w:top w:val="single" w:color="000000" w:sz="6" w:space="0"/>
              <w:left w:val="single" w:color="000000" w:sz="6" w:space="0"/>
              <w:bottom w:val="single" w:color="000000" w:sz="6" w:space="0"/>
              <w:right w:val="single" w:color="000000" w:sz="6" w:space="0"/>
            </w:tcBorders>
            <w:tcMar>
              <w:top w:w="75" w:type="dxa"/>
              <w:left w:w="105" w:type="dxa"/>
              <w:bottom w:w="75" w:type="dxa"/>
              <w:right w:w="105" w:type="dxa"/>
            </w:tcMar>
            <w:vAlign w:val="center"/>
          </w:tcPr>
          <w:p w14:paraId="3A999E4E">
            <w:pPr>
              <w:pStyle w:val="2"/>
              <w:wordWrap w:val="0"/>
              <w:spacing w:line="420" w:lineRule="atLeast"/>
              <w:jc w:val="center"/>
              <w:rPr>
                <w:rFonts w:ascii="Times New Roman" w:hAnsi="Times New Roman" w:cs="Times New Roman"/>
                <w:sz w:val="20"/>
                <w:szCs w:val="20"/>
              </w:rPr>
            </w:pPr>
            <w:r>
              <w:rPr>
                <w:rFonts w:hint="eastAsia" w:cs="Times New Roman"/>
                <w:sz w:val="20"/>
                <w:szCs w:val="20"/>
              </w:rPr>
              <w:t>3.82</w:t>
            </w:r>
          </w:p>
        </w:tc>
      </w:tr>
      <w:tr w14:paraId="411C654E">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108" w:type="dxa"/>
            <w:bottom w:w="0" w:type="dxa"/>
            <w:right w:w="108" w:type="dxa"/>
          </w:tblCellMar>
        </w:tblPrEx>
        <w:tc>
          <w:tcPr>
            <w:tcW w:w="1200" w:type="dxa"/>
            <w:tcBorders>
              <w:top w:val="single" w:color="000000" w:sz="6" w:space="0"/>
              <w:left w:val="single" w:color="000000" w:sz="6" w:space="0"/>
              <w:bottom w:val="single" w:color="000000" w:sz="6" w:space="0"/>
              <w:right w:val="single" w:color="000000" w:sz="6" w:space="0"/>
            </w:tcBorders>
            <w:tcMar>
              <w:top w:w="75" w:type="dxa"/>
              <w:left w:w="105" w:type="dxa"/>
              <w:bottom w:w="75" w:type="dxa"/>
              <w:right w:w="105" w:type="dxa"/>
            </w:tcMar>
            <w:vAlign w:val="center"/>
          </w:tcPr>
          <w:p w14:paraId="6400A409">
            <w:pPr>
              <w:pStyle w:val="2"/>
              <w:wordWrap w:val="0"/>
              <w:spacing w:line="420" w:lineRule="atLeast"/>
              <w:jc w:val="center"/>
              <w:rPr>
                <w:rFonts w:ascii="Times New Roman" w:hAnsi="Times New Roman" w:cs="Times New Roman"/>
                <w:sz w:val="20"/>
                <w:szCs w:val="20"/>
              </w:rPr>
            </w:pPr>
            <w:r>
              <w:rPr>
                <w:rFonts w:hint="eastAsia" w:cs="Times New Roman"/>
                <w:sz w:val="20"/>
                <w:szCs w:val="20"/>
              </w:rPr>
              <w:t>3</w:t>
            </w:r>
          </w:p>
        </w:tc>
        <w:tc>
          <w:tcPr>
            <w:tcW w:w="0" w:type="auto"/>
            <w:vMerge w:val="continue"/>
            <w:tcBorders>
              <w:top w:val="single" w:color="000000" w:sz="6" w:space="0"/>
              <w:left w:val="single" w:color="000000" w:sz="6" w:space="0"/>
              <w:bottom w:val="single" w:color="000000" w:sz="6" w:space="0"/>
              <w:right w:val="single" w:color="000000" w:sz="6" w:space="0"/>
            </w:tcBorders>
            <w:vAlign w:val="center"/>
          </w:tcPr>
          <w:p w14:paraId="07A1E10A">
            <w:pPr>
              <w:rPr>
                <w:rFonts w:ascii="Times New Roman" w:hAnsi="Times New Roman" w:cs="Times New Roman"/>
                <w:sz w:val="20"/>
                <w:szCs w:val="20"/>
              </w:rPr>
            </w:pPr>
          </w:p>
        </w:tc>
        <w:tc>
          <w:tcPr>
            <w:tcW w:w="4635" w:type="dxa"/>
            <w:tcBorders>
              <w:top w:val="single" w:color="000000" w:sz="6" w:space="0"/>
              <w:left w:val="single" w:color="000000" w:sz="6" w:space="0"/>
              <w:bottom w:val="single" w:color="000000" w:sz="6" w:space="0"/>
              <w:right w:val="single" w:color="000000" w:sz="6" w:space="0"/>
            </w:tcBorders>
            <w:tcMar>
              <w:top w:w="75" w:type="dxa"/>
              <w:left w:w="105" w:type="dxa"/>
              <w:bottom w:w="75" w:type="dxa"/>
              <w:right w:w="105" w:type="dxa"/>
            </w:tcMar>
            <w:vAlign w:val="center"/>
          </w:tcPr>
          <w:p w14:paraId="6842E218">
            <w:pPr>
              <w:pStyle w:val="2"/>
              <w:wordWrap w:val="0"/>
              <w:spacing w:line="420" w:lineRule="atLeast"/>
              <w:rPr>
                <w:rFonts w:ascii="Times New Roman" w:hAnsi="Times New Roman" w:cs="Times New Roman"/>
                <w:sz w:val="20"/>
                <w:szCs w:val="20"/>
              </w:rPr>
            </w:pPr>
            <w:r>
              <w:rPr>
                <w:rFonts w:hint="eastAsia" w:cs="Times New Roman"/>
                <w:sz w:val="20"/>
                <w:szCs w:val="20"/>
              </w:rPr>
              <w:t>第三阶梯（每户每月27立方米以上部分）</w:t>
            </w:r>
          </w:p>
        </w:tc>
        <w:tc>
          <w:tcPr>
            <w:tcW w:w="1185" w:type="dxa"/>
            <w:tcBorders>
              <w:top w:val="single" w:color="000000" w:sz="6" w:space="0"/>
              <w:left w:val="single" w:color="000000" w:sz="6" w:space="0"/>
              <w:bottom w:val="single" w:color="000000" w:sz="6" w:space="0"/>
              <w:right w:val="single" w:color="000000" w:sz="6" w:space="0"/>
            </w:tcBorders>
            <w:tcMar>
              <w:top w:w="75" w:type="dxa"/>
              <w:left w:w="105" w:type="dxa"/>
              <w:bottom w:w="75" w:type="dxa"/>
              <w:right w:w="105" w:type="dxa"/>
            </w:tcMar>
            <w:vAlign w:val="center"/>
          </w:tcPr>
          <w:p w14:paraId="68E8AC07">
            <w:pPr>
              <w:pStyle w:val="2"/>
              <w:wordWrap w:val="0"/>
              <w:spacing w:line="420" w:lineRule="atLeast"/>
              <w:jc w:val="center"/>
              <w:rPr>
                <w:rFonts w:ascii="Times New Roman" w:hAnsi="Times New Roman" w:cs="Times New Roman"/>
                <w:sz w:val="20"/>
                <w:szCs w:val="20"/>
              </w:rPr>
            </w:pPr>
            <w:r>
              <w:rPr>
                <w:rFonts w:hint="eastAsia" w:cs="Times New Roman"/>
                <w:sz w:val="20"/>
                <w:szCs w:val="20"/>
              </w:rPr>
              <w:t>7.65</w:t>
            </w:r>
          </w:p>
        </w:tc>
      </w:tr>
      <w:tr w14:paraId="4513333B">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108" w:type="dxa"/>
            <w:bottom w:w="0" w:type="dxa"/>
            <w:right w:w="108" w:type="dxa"/>
          </w:tblCellMar>
        </w:tblPrEx>
        <w:tc>
          <w:tcPr>
            <w:tcW w:w="1200" w:type="dxa"/>
            <w:tcBorders>
              <w:top w:val="single" w:color="000000" w:sz="6" w:space="0"/>
              <w:left w:val="single" w:color="000000" w:sz="6" w:space="0"/>
              <w:bottom w:val="single" w:color="000000" w:sz="6" w:space="0"/>
              <w:right w:val="single" w:color="000000" w:sz="6" w:space="0"/>
            </w:tcBorders>
            <w:tcMar>
              <w:top w:w="75" w:type="dxa"/>
              <w:left w:w="105" w:type="dxa"/>
              <w:bottom w:w="75" w:type="dxa"/>
              <w:right w:w="105" w:type="dxa"/>
            </w:tcMar>
            <w:vAlign w:val="center"/>
          </w:tcPr>
          <w:p w14:paraId="7967363A">
            <w:pPr>
              <w:pStyle w:val="2"/>
              <w:wordWrap w:val="0"/>
              <w:spacing w:line="420" w:lineRule="atLeast"/>
              <w:jc w:val="center"/>
              <w:rPr>
                <w:rFonts w:ascii="Times New Roman" w:hAnsi="Times New Roman" w:cs="Times New Roman"/>
                <w:sz w:val="20"/>
                <w:szCs w:val="20"/>
              </w:rPr>
            </w:pPr>
            <w:r>
              <w:rPr>
                <w:rFonts w:hint="eastAsia" w:cs="Times New Roman"/>
                <w:sz w:val="20"/>
                <w:szCs w:val="20"/>
              </w:rPr>
              <w:t>4</w:t>
            </w:r>
          </w:p>
        </w:tc>
        <w:tc>
          <w:tcPr>
            <w:tcW w:w="0" w:type="auto"/>
            <w:vMerge w:val="continue"/>
            <w:tcBorders>
              <w:top w:val="single" w:color="000000" w:sz="6" w:space="0"/>
              <w:left w:val="single" w:color="000000" w:sz="6" w:space="0"/>
              <w:bottom w:val="single" w:color="000000" w:sz="6" w:space="0"/>
              <w:right w:val="single" w:color="000000" w:sz="6" w:space="0"/>
            </w:tcBorders>
            <w:vAlign w:val="center"/>
          </w:tcPr>
          <w:p w14:paraId="0798478F">
            <w:pPr>
              <w:rPr>
                <w:rFonts w:ascii="Times New Roman" w:hAnsi="Times New Roman" w:cs="Times New Roman"/>
                <w:sz w:val="20"/>
                <w:szCs w:val="20"/>
              </w:rPr>
            </w:pPr>
          </w:p>
        </w:tc>
        <w:tc>
          <w:tcPr>
            <w:tcW w:w="4635" w:type="dxa"/>
            <w:tcBorders>
              <w:top w:val="single" w:color="000000" w:sz="6" w:space="0"/>
              <w:left w:val="single" w:color="000000" w:sz="6" w:space="0"/>
              <w:bottom w:val="single" w:color="000000" w:sz="6" w:space="0"/>
              <w:right w:val="single" w:color="000000" w:sz="6" w:space="0"/>
            </w:tcBorders>
            <w:tcMar>
              <w:top w:w="75" w:type="dxa"/>
              <w:left w:w="105" w:type="dxa"/>
              <w:bottom w:w="75" w:type="dxa"/>
              <w:right w:w="105" w:type="dxa"/>
            </w:tcMar>
            <w:vAlign w:val="center"/>
          </w:tcPr>
          <w:p w14:paraId="77FDEF6B">
            <w:pPr>
              <w:pStyle w:val="2"/>
              <w:wordWrap w:val="0"/>
              <w:spacing w:line="420" w:lineRule="atLeast"/>
              <w:rPr>
                <w:rFonts w:ascii="Times New Roman" w:hAnsi="Times New Roman" w:cs="Times New Roman"/>
                <w:sz w:val="20"/>
                <w:szCs w:val="20"/>
              </w:rPr>
            </w:pPr>
            <w:r>
              <w:rPr>
                <w:rFonts w:hint="eastAsia" w:cs="Times New Roman"/>
                <w:sz w:val="20"/>
                <w:szCs w:val="20"/>
              </w:rPr>
              <w:t>合表水价</w:t>
            </w:r>
          </w:p>
        </w:tc>
        <w:tc>
          <w:tcPr>
            <w:tcW w:w="1185" w:type="dxa"/>
            <w:tcBorders>
              <w:top w:val="single" w:color="000000" w:sz="6" w:space="0"/>
              <w:left w:val="single" w:color="000000" w:sz="6" w:space="0"/>
              <w:bottom w:val="single" w:color="000000" w:sz="6" w:space="0"/>
              <w:right w:val="single" w:color="000000" w:sz="6" w:space="0"/>
            </w:tcBorders>
            <w:tcMar>
              <w:top w:w="75" w:type="dxa"/>
              <w:left w:w="105" w:type="dxa"/>
              <w:bottom w:w="75" w:type="dxa"/>
              <w:right w:w="105" w:type="dxa"/>
            </w:tcMar>
            <w:vAlign w:val="center"/>
          </w:tcPr>
          <w:p w14:paraId="63D6DE18">
            <w:pPr>
              <w:pStyle w:val="2"/>
              <w:wordWrap w:val="0"/>
              <w:spacing w:line="420" w:lineRule="atLeast"/>
              <w:jc w:val="center"/>
              <w:rPr>
                <w:rFonts w:ascii="Times New Roman" w:hAnsi="Times New Roman" w:cs="Times New Roman"/>
                <w:sz w:val="20"/>
                <w:szCs w:val="20"/>
              </w:rPr>
            </w:pPr>
            <w:r>
              <w:rPr>
                <w:rFonts w:hint="eastAsia" w:cs="Times New Roman"/>
                <w:sz w:val="20"/>
                <w:szCs w:val="20"/>
              </w:rPr>
              <w:t>2.80</w:t>
            </w:r>
          </w:p>
        </w:tc>
      </w:tr>
      <w:tr w14:paraId="2CD863CF">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108" w:type="dxa"/>
            <w:bottom w:w="0" w:type="dxa"/>
            <w:right w:w="108" w:type="dxa"/>
          </w:tblCellMar>
        </w:tblPrEx>
        <w:tc>
          <w:tcPr>
            <w:tcW w:w="1200" w:type="dxa"/>
            <w:tcBorders>
              <w:top w:val="single" w:color="000000" w:sz="6" w:space="0"/>
              <w:left w:val="single" w:color="000000" w:sz="6" w:space="0"/>
              <w:bottom w:val="single" w:color="000000" w:sz="6" w:space="0"/>
              <w:right w:val="single" w:color="000000" w:sz="6" w:space="0"/>
            </w:tcBorders>
            <w:tcMar>
              <w:top w:w="75" w:type="dxa"/>
              <w:left w:w="105" w:type="dxa"/>
              <w:bottom w:w="75" w:type="dxa"/>
              <w:right w:w="105" w:type="dxa"/>
            </w:tcMar>
            <w:vAlign w:val="center"/>
          </w:tcPr>
          <w:p w14:paraId="0CA14996">
            <w:pPr>
              <w:pStyle w:val="2"/>
              <w:wordWrap w:val="0"/>
              <w:spacing w:line="420" w:lineRule="atLeast"/>
              <w:jc w:val="center"/>
              <w:rPr>
                <w:rFonts w:ascii="Times New Roman" w:hAnsi="Times New Roman" w:cs="Times New Roman"/>
                <w:sz w:val="20"/>
                <w:szCs w:val="20"/>
              </w:rPr>
            </w:pPr>
            <w:r>
              <w:rPr>
                <w:rFonts w:hint="eastAsia" w:cs="Times New Roman"/>
                <w:sz w:val="20"/>
                <w:szCs w:val="20"/>
              </w:rPr>
              <w:t>5</w:t>
            </w:r>
          </w:p>
        </w:tc>
        <w:tc>
          <w:tcPr>
            <w:tcW w:w="6315" w:type="dxa"/>
            <w:gridSpan w:val="2"/>
            <w:tcBorders>
              <w:top w:val="single" w:color="000000" w:sz="6" w:space="0"/>
              <w:left w:val="single" w:color="000000" w:sz="6" w:space="0"/>
              <w:bottom w:val="single" w:color="000000" w:sz="6" w:space="0"/>
              <w:right w:val="single" w:color="000000" w:sz="6" w:space="0"/>
            </w:tcBorders>
            <w:tcMar>
              <w:top w:w="75" w:type="dxa"/>
              <w:left w:w="105" w:type="dxa"/>
              <w:bottom w:w="75" w:type="dxa"/>
              <w:right w:w="105" w:type="dxa"/>
            </w:tcMar>
            <w:vAlign w:val="center"/>
          </w:tcPr>
          <w:p w14:paraId="2290A93B">
            <w:pPr>
              <w:pStyle w:val="2"/>
              <w:wordWrap w:val="0"/>
              <w:spacing w:line="420" w:lineRule="atLeast"/>
              <w:rPr>
                <w:rFonts w:ascii="Times New Roman" w:hAnsi="Times New Roman" w:cs="Times New Roman"/>
                <w:sz w:val="20"/>
                <w:szCs w:val="20"/>
              </w:rPr>
            </w:pPr>
            <w:r>
              <w:rPr>
                <w:rFonts w:hint="eastAsia" w:cs="Times New Roman"/>
                <w:sz w:val="20"/>
                <w:szCs w:val="20"/>
              </w:rPr>
              <w:t>非居民生活用水</w:t>
            </w:r>
          </w:p>
        </w:tc>
        <w:tc>
          <w:tcPr>
            <w:tcW w:w="1185" w:type="dxa"/>
            <w:tcBorders>
              <w:top w:val="single" w:color="000000" w:sz="6" w:space="0"/>
              <w:left w:val="single" w:color="000000" w:sz="6" w:space="0"/>
              <w:bottom w:val="single" w:color="000000" w:sz="6" w:space="0"/>
              <w:right w:val="single" w:color="000000" w:sz="6" w:space="0"/>
            </w:tcBorders>
            <w:tcMar>
              <w:top w:w="75" w:type="dxa"/>
              <w:left w:w="105" w:type="dxa"/>
              <w:bottom w:w="75" w:type="dxa"/>
              <w:right w:w="105" w:type="dxa"/>
            </w:tcMar>
            <w:vAlign w:val="center"/>
          </w:tcPr>
          <w:p w14:paraId="22B8F694">
            <w:pPr>
              <w:pStyle w:val="2"/>
              <w:wordWrap w:val="0"/>
              <w:spacing w:line="420" w:lineRule="atLeast"/>
              <w:jc w:val="center"/>
              <w:rPr>
                <w:rFonts w:ascii="Times New Roman" w:hAnsi="Times New Roman" w:cs="Times New Roman"/>
                <w:sz w:val="20"/>
                <w:szCs w:val="20"/>
              </w:rPr>
            </w:pPr>
            <w:r>
              <w:rPr>
                <w:rFonts w:hint="eastAsia" w:cs="Times New Roman"/>
                <w:sz w:val="20"/>
                <w:szCs w:val="20"/>
              </w:rPr>
              <w:t>4.40</w:t>
            </w:r>
          </w:p>
        </w:tc>
      </w:tr>
      <w:tr w14:paraId="37AC6E63">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108" w:type="dxa"/>
            <w:bottom w:w="0" w:type="dxa"/>
            <w:right w:w="108" w:type="dxa"/>
          </w:tblCellMar>
        </w:tblPrEx>
        <w:tc>
          <w:tcPr>
            <w:tcW w:w="1200" w:type="dxa"/>
            <w:tcBorders>
              <w:top w:val="single" w:color="000000" w:sz="6" w:space="0"/>
              <w:left w:val="single" w:color="000000" w:sz="6" w:space="0"/>
              <w:bottom w:val="single" w:color="000000" w:sz="6" w:space="0"/>
              <w:right w:val="single" w:color="000000" w:sz="6" w:space="0"/>
            </w:tcBorders>
            <w:tcMar>
              <w:top w:w="75" w:type="dxa"/>
              <w:left w:w="105" w:type="dxa"/>
              <w:bottom w:w="75" w:type="dxa"/>
              <w:right w:w="105" w:type="dxa"/>
            </w:tcMar>
            <w:vAlign w:val="center"/>
          </w:tcPr>
          <w:p w14:paraId="0479C017">
            <w:pPr>
              <w:pStyle w:val="2"/>
              <w:wordWrap w:val="0"/>
              <w:spacing w:line="420" w:lineRule="atLeast"/>
              <w:jc w:val="center"/>
              <w:rPr>
                <w:rFonts w:ascii="Times New Roman" w:hAnsi="Times New Roman" w:cs="Times New Roman"/>
                <w:sz w:val="20"/>
                <w:szCs w:val="20"/>
              </w:rPr>
            </w:pPr>
            <w:r>
              <w:rPr>
                <w:rFonts w:hint="eastAsia" w:cs="Times New Roman"/>
                <w:sz w:val="20"/>
                <w:szCs w:val="20"/>
              </w:rPr>
              <w:t>6</w:t>
            </w:r>
          </w:p>
        </w:tc>
        <w:tc>
          <w:tcPr>
            <w:tcW w:w="6315" w:type="dxa"/>
            <w:gridSpan w:val="2"/>
            <w:tcBorders>
              <w:top w:val="single" w:color="000000" w:sz="6" w:space="0"/>
              <w:left w:val="single" w:color="000000" w:sz="6" w:space="0"/>
              <w:bottom w:val="single" w:color="000000" w:sz="6" w:space="0"/>
              <w:right w:val="single" w:color="000000" w:sz="6" w:space="0"/>
            </w:tcBorders>
            <w:tcMar>
              <w:top w:w="75" w:type="dxa"/>
              <w:left w:w="105" w:type="dxa"/>
              <w:bottom w:w="75" w:type="dxa"/>
              <w:right w:w="105" w:type="dxa"/>
            </w:tcMar>
            <w:vAlign w:val="center"/>
          </w:tcPr>
          <w:p w14:paraId="4DCAD532">
            <w:pPr>
              <w:pStyle w:val="2"/>
              <w:wordWrap w:val="0"/>
              <w:spacing w:line="420" w:lineRule="atLeast"/>
              <w:rPr>
                <w:rFonts w:ascii="Times New Roman" w:hAnsi="Times New Roman" w:cs="Times New Roman"/>
                <w:sz w:val="20"/>
                <w:szCs w:val="20"/>
              </w:rPr>
            </w:pPr>
            <w:r>
              <w:rPr>
                <w:rFonts w:hint="eastAsia" w:cs="Times New Roman"/>
                <w:sz w:val="20"/>
                <w:szCs w:val="20"/>
              </w:rPr>
              <w:t>特种用水</w:t>
            </w:r>
          </w:p>
        </w:tc>
        <w:tc>
          <w:tcPr>
            <w:tcW w:w="1185" w:type="dxa"/>
            <w:tcBorders>
              <w:top w:val="single" w:color="000000" w:sz="6" w:space="0"/>
              <w:left w:val="single" w:color="000000" w:sz="6" w:space="0"/>
              <w:bottom w:val="single" w:color="000000" w:sz="6" w:space="0"/>
              <w:right w:val="single" w:color="000000" w:sz="6" w:space="0"/>
            </w:tcBorders>
            <w:tcMar>
              <w:top w:w="75" w:type="dxa"/>
              <w:left w:w="105" w:type="dxa"/>
              <w:bottom w:w="75" w:type="dxa"/>
              <w:right w:w="105" w:type="dxa"/>
            </w:tcMar>
            <w:vAlign w:val="center"/>
          </w:tcPr>
          <w:p w14:paraId="7961CAC2">
            <w:pPr>
              <w:pStyle w:val="2"/>
              <w:wordWrap w:val="0"/>
              <w:spacing w:line="420" w:lineRule="atLeast"/>
              <w:jc w:val="center"/>
              <w:rPr>
                <w:rFonts w:ascii="Times New Roman" w:hAnsi="Times New Roman" w:cs="Times New Roman"/>
                <w:sz w:val="20"/>
                <w:szCs w:val="20"/>
              </w:rPr>
            </w:pPr>
            <w:r>
              <w:rPr>
                <w:rFonts w:hint="eastAsia" w:cs="Times New Roman"/>
                <w:sz w:val="20"/>
                <w:szCs w:val="20"/>
              </w:rPr>
              <w:t>25</w:t>
            </w:r>
          </w:p>
        </w:tc>
      </w:tr>
      <w:tr w14:paraId="6D0DA393">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108" w:type="dxa"/>
            <w:bottom w:w="0" w:type="dxa"/>
            <w:right w:w="108" w:type="dxa"/>
          </w:tblCellMar>
        </w:tblPrEx>
        <w:tc>
          <w:tcPr>
            <w:tcW w:w="8715" w:type="dxa"/>
            <w:gridSpan w:val="4"/>
            <w:tcBorders>
              <w:top w:val="single" w:color="000000" w:sz="6" w:space="0"/>
              <w:left w:val="single" w:color="000000" w:sz="6" w:space="0"/>
              <w:bottom w:val="single" w:color="000000" w:sz="6" w:space="0"/>
              <w:right w:val="single" w:color="000000" w:sz="6" w:space="0"/>
            </w:tcBorders>
            <w:tcMar>
              <w:top w:w="75" w:type="dxa"/>
              <w:left w:w="105" w:type="dxa"/>
              <w:bottom w:w="75" w:type="dxa"/>
              <w:right w:w="105" w:type="dxa"/>
            </w:tcMar>
            <w:vAlign w:val="center"/>
          </w:tcPr>
          <w:p w14:paraId="6D1393D2">
            <w:pPr>
              <w:pStyle w:val="2"/>
              <w:wordWrap w:val="0"/>
              <w:spacing w:line="420" w:lineRule="atLeast"/>
              <w:rPr>
                <w:rFonts w:ascii="Times New Roman" w:hAnsi="Times New Roman" w:cs="Times New Roman"/>
                <w:sz w:val="20"/>
                <w:szCs w:val="20"/>
              </w:rPr>
            </w:pPr>
            <w:r>
              <w:rPr>
                <w:rFonts w:hint="eastAsia" w:cs="Times New Roman"/>
                <w:sz w:val="20"/>
                <w:szCs w:val="20"/>
              </w:rPr>
              <w:t>备注：</w:t>
            </w:r>
          </w:p>
          <w:p w14:paraId="231AC08C">
            <w:pPr>
              <w:pStyle w:val="2"/>
              <w:wordWrap w:val="0"/>
              <w:spacing w:line="420" w:lineRule="atLeast"/>
              <w:rPr>
                <w:rFonts w:ascii="Times New Roman" w:hAnsi="Times New Roman" w:cs="Times New Roman"/>
                <w:sz w:val="20"/>
                <w:szCs w:val="20"/>
              </w:rPr>
            </w:pPr>
            <w:r>
              <w:rPr>
                <w:rFonts w:hint="eastAsia" w:cs="Times New Roman"/>
                <w:sz w:val="20"/>
                <w:szCs w:val="20"/>
              </w:rPr>
              <w:t>1. 表中所列为居民生活用水户用水人口4人及以下的阶梯水量基数，用水人口超过4人的，每增加一人，第一、第二阶梯水量上限值增加5立方米。超过第二阶梯水量上限值的，计入第三阶梯水量。</w:t>
            </w:r>
          </w:p>
          <w:p w14:paraId="54598C01">
            <w:pPr>
              <w:pStyle w:val="2"/>
              <w:wordWrap w:val="0"/>
              <w:spacing w:line="420" w:lineRule="atLeast"/>
              <w:rPr>
                <w:rFonts w:ascii="Times New Roman" w:hAnsi="Times New Roman" w:cs="Times New Roman"/>
                <w:sz w:val="20"/>
                <w:szCs w:val="20"/>
              </w:rPr>
            </w:pPr>
            <w:r>
              <w:rPr>
                <w:rFonts w:hint="eastAsia" w:cs="Times New Roman"/>
                <w:sz w:val="20"/>
                <w:szCs w:val="20"/>
              </w:rPr>
              <w:t>2. 居民生活用水：城镇居民住宅家庭的日常生活用水，以及机关、部队、企事业单位等集体宿舍用水。其中，对本市户籍低收入居民家庭、烈士遗属及优抚对象用水价格不调整，具体为：每人每月用水量在7立方米以下（含7立方米）的居民生活用水按0.70元/立方米计收，超出部分按1.98元/立方米计收。</w:t>
            </w:r>
          </w:p>
          <w:p w14:paraId="0A5CF7B4">
            <w:pPr>
              <w:pStyle w:val="2"/>
              <w:wordWrap w:val="0"/>
              <w:spacing w:line="420" w:lineRule="atLeast"/>
              <w:rPr>
                <w:rFonts w:ascii="Times New Roman" w:hAnsi="Times New Roman" w:cs="Times New Roman"/>
                <w:sz w:val="20"/>
                <w:szCs w:val="20"/>
              </w:rPr>
            </w:pPr>
            <w:r>
              <w:rPr>
                <w:rFonts w:hint="eastAsia" w:cs="Times New Roman"/>
                <w:sz w:val="20"/>
                <w:szCs w:val="20"/>
              </w:rPr>
              <w:t>3. 非居民生活用水：工业、经营服务用水和行政事业单位用水、市政用水（环卫、绿化）、生态用水、消防用水等。</w:t>
            </w:r>
          </w:p>
          <w:p w14:paraId="2B97791A">
            <w:pPr>
              <w:pStyle w:val="2"/>
              <w:wordWrap w:val="0"/>
              <w:spacing w:line="420" w:lineRule="atLeast"/>
              <w:rPr>
                <w:rFonts w:ascii="Times New Roman" w:hAnsi="Times New Roman" w:cs="Times New Roman"/>
                <w:sz w:val="20"/>
                <w:szCs w:val="20"/>
              </w:rPr>
            </w:pPr>
            <w:r>
              <w:rPr>
                <w:rFonts w:hint="eastAsia" w:cs="Times New Roman"/>
                <w:sz w:val="20"/>
                <w:szCs w:val="20"/>
              </w:rPr>
              <w:t>4. 特种用水：洗车、以自来水为原料的纯净水生产、高尔夫球场用水等。</w:t>
            </w:r>
          </w:p>
        </w:tc>
      </w:tr>
    </w:tbl>
    <w:p w14:paraId="3F492308">
      <w:pPr>
        <w:pStyle w:val="2"/>
        <w:spacing w:line="420" w:lineRule="atLeast"/>
      </w:pPr>
      <w:r>
        <w:rPr>
          <w:rFonts w:hint="eastAsia"/>
        </w:rPr>
        <w:t>　　</w:t>
      </w:r>
      <w:r>
        <w:rPr>
          <w:rStyle w:val="5"/>
          <w:rFonts w:hint="eastAsia"/>
        </w:rPr>
        <w:t>六、优惠政策</w:t>
      </w:r>
    </w:p>
    <w:p w14:paraId="73D1C1A5">
      <w:pPr>
        <w:pStyle w:val="2"/>
        <w:spacing w:line="420" w:lineRule="atLeast"/>
        <w:rPr>
          <w:rFonts w:hint="eastAsia"/>
        </w:rPr>
      </w:pPr>
      <w:r>
        <w:rPr>
          <w:rFonts w:hint="eastAsia"/>
        </w:rPr>
        <w:t>　　（一）对持有《广州市城乡居民最低生活保障证》《广东省最低生活保障边缘家庭证》《特困人员救助供养证》的本市户籍低收入居民家庭以及经市政府确定的其他特殊困难家庭或者人员，维持原自来水价格标准不变。具体为：每人每月用水量在7立方米以下（含7立方米）的居民生活用水按0.70元/立方米计收，超出部分按1.98元/立方米计收。</w:t>
      </w:r>
    </w:p>
    <w:p w14:paraId="50FECBAE">
      <w:pPr>
        <w:pStyle w:val="2"/>
        <w:spacing w:line="420" w:lineRule="atLeast"/>
        <w:rPr>
          <w:rFonts w:hint="eastAsia"/>
        </w:rPr>
      </w:pPr>
      <w:r>
        <w:rPr>
          <w:rFonts w:hint="eastAsia"/>
        </w:rPr>
        <w:t>　　（二）对烈士遗属及优抚对象执行优惠政策，按原自来水价格标准维持不变。具体为：每人每月用水量在7立方米以下（含7立方米）的居民生活用水按0.70元/立方米计收，超出部分按1.98元/立方米计收。</w:t>
      </w:r>
    </w:p>
    <w:p w14:paraId="59D8AC0C">
      <w:pPr>
        <w:pStyle w:val="2"/>
        <w:spacing w:line="420" w:lineRule="atLeast"/>
        <w:rPr>
          <w:rFonts w:hint="eastAsia"/>
        </w:rPr>
      </w:pPr>
      <w:r>
        <w:rPr>
          <w:rFonts w:hint="eastAsia"/>
        </w:rPr>
        <w:t>　　（三）对养老机构、残疾人托养机构等社会福利场所及婴幼儿照护服务机构、学校教学和学生生活用水、家政企业在社区设置的服务网点用水、社工服务站、经批准由商业商务办公等存量用房改造为租赁住房的项目等执行居民生活用水价格的非居民用户，实施合表水价。</w:t>
      </w:r>
    </w:p>
    <w:p w14:paraId="684D4064">
      <w:pPr>
        <w:pStyle w:val="2"/>
        <w:spacing w:line="420" w:lineRule="atLeast"/>
        <w:rPr>
          <w:rFonts w:hint="eastAsia"/>
        </w:rPr>
      </w:pPr>
      <w:r>
        <w:rPr>
          <w:rFonts w:hint="eastAsia"/>
        </w:rPr>
        <w:t>　　（四）上述优惠政策调整的，依据国家、省、市相关部门最新规定执行。</w:t>
      </w:r>
    </w:p>
    <w:p w14:paraId="76AC3C14">
      <w:pPr>
        <w:pStyle w:val="2"/>
        <w:spacing w:line="420" w:lineRule="atLeast"/>
        <w:rPr>
          <w:rFonts w:hint="eastAsia"/>
        </w:rPr>
      </w:pPr>
      <w:r>
        <w:rPr>
          <w:rFonts w:hint="eastAsia"/>
        </w:rPr>
        <w:t>　　</w:t>
      </w:r>
      <w:r>
        <w:rPr>
          <w:rStyle w:val="5"/>
          <w:rFonts w:hint="eastAsia"/>
        </w:rPr>
        <w:t>七、相关配套政策</w:t>
      </w:r>
    </w:p>
    <w:p w14:paraId="4889BFDB">
      <w:pPr>
        <w:pStyle w:val="2"/>
        <w:spacing w:line="420" w:lineRule="atLeast"/>
        <w:rPr>
          <w:rFonts w:hint="eastAsia"/>
        </w:rPr>
      </w:pPr>
      <w:r>
        <w:rPr>
          <w:rFonts w:hint="eastAsia"/>
        </w:rPr>
        <w:t>　　（一）广州市自来水有限公司要积极提升供水服务质量，要加大力度推进我市水表改造工作，对暂未抄表到户、收费到户的，要尽快实现装表到户、计量到户、抄表到户、收费到户、服务到户。</w:t>
      </w:r>
    </w:p>
    <w:p w14:paraId="6792004F">
      <w:pPr>
        <w:pStyle w:val="2"/>
        <w:spacing w:line="420" w:lineRule="atLeast"/>
        <w:rPr>
          <w:rFonts w:hint="eastAsia"/>
        </w:rPr>
      </w:pPr>
      <w:r>
        <w:rPr>
          <w:rFonts w:hint="eastAsia"/>
        </w:rPr>
        <w:t>　　（二）广州市自来水有限公司应当在营业场所醒目位置和企业门户网站公示各类水价、延伸服务价格、代收费标准，以及文件依据、服务咨询电话、投诉电话，并每年定期公布上一年度取水量、供水量、售水量、售水收入、水质检测报告等相关信息。自来水调价前，还应公开监审周期内的经营及成本情况，公开时间不少于1个月，接受社会各方咨询，并做好咨询回复等相关工作。</w:t>
      </w:r>
    </w:p>
    <w:p w14:paraId="6722C90A">
      <w:pPr>
        <w:pStyle w:val="2"/>
        <w:spacing w:line="420" w:lineRule="atLeast"/>
        <w:rPr>
          <w:rFonts w:hint="eastAsia"/>
        </w:rPr>
      </w:pPr>
      <w:r>
        <w:rPr>
          <w:rFonts w:hint="eastAsia"/>
        </w:rPr>
        <w:t>　　（三）广州市自来水有限公司要挖潜增效，提高精细化经营管理水平，落实相关成本规制，控制供水成本。每半年向市发展改革委报送生产经营情况和成本数据，以便及时开展政府制定价格后评估。</w:t>
      </w:r>
    </w:p>
    <w:p w14:paraId="3C876584">
      <w:pPr>
        <w:pStyle w:val="2"/>
        <w:spacing w:line="420" w:lineRule="atLeast"/>
        <w:rPr>
          <w:rFonts w:hint="eastAsia"/>
        </w:rPr>
      </w:pPr>
      <w:r>
        <w:rPr>
          <w:rFonts w:hint="eastAsia"/>
        </w:rPr>
        <w:t>　　</w:t>
      </w:r>
      <w:r>
        <w:rPr>
          <w:rStyle w:val="5"/>
          <w:rFonts w:hint="eastAsia"/>
        </w:rPr>
        <w:t>八、本通知自2025年6月1日起施行，有效期五年。</w:t>
      </w:r>
      <w:r>
        <w:rPr>
          <w:rFonts w:hint="eastAsia"/>
        </w:rPr>
        <w:t>此前水价政策与本通知不一致的，以本通知为准。</w:t>
      </w:r>
    </w:p>
    <w:p w14:paraId="314E4D79">
      <w:pPr>
        <w:pStyle w:val="2"/>
        <w:spacing w:line="420" w:lineRule="atLeast"/>
        <w:rPr>
          <w:rFonts w:hint="eastAsia"/>
        </w:rPr>
      </w:pPr>
    </w:p>
    <w:p w14:paraId="23FEF09A">
      <w:pPr>
        <w:pStyle w:val="2"/>
        <w:spacing w:line="420" w:lineRule="atLeast"/>
        <w:jc w:val="right"/>
        <w:rPr>
          <w:rFonts w:hint="eastAsia"/>
        </w:rPr>
      </w:pPr>
      <w:r>
        <w:rPr>
          <w:rFonts w:hint="eastAsia"/>
        </w:rPr>
        <w:t>广州市发展和改革委员会</w:t>
      </w:r>
    </w:p>
    <w:p w14:paraId="06610F07">
      <w:pPr>
        <w:pStyle w:val="2"/>
        <w:spacing w:line="420" w:lineRule="atLeast"/>
        <w:jc w:val="right"/>
        <w:rPr>
          <w:rFonts w:hint="eastAsia"/>
        </w:rPr>
      </w:pPr>
      <w:r>
        <w:rPr>
          <w:rFonts w:hint="eastAsia"/>
        </w:rPr>
        <w:t>2025年4月27日</w:t>
      </w:r>
    </w:p>
    <w:p w14:paraId="548A332B">
      <w:pPr>
        <w:pStyle w:val="2"/>
        <w:spacing w:line="420" w:lineRule="atLeast"/>
        <w:rPr>
          <w:rFonts w:hint="eastAsia"/>
        </w:rPr>
      </w:pPr>
      <w:r>
        <w:rPr>
          <w:rFonts w:hint="eastAsia"/>
        </w:rPr>
        <w:t>公开方式：主动公开</w:t>
      </w:r>
    </w:p>
    <w:p w14:paraId="54D9D83B">
      <w:pPr>
        <w:pStyle w:val="2"/>
        <w:rPr>
          <w:rFonts w:hint="eastAsia"/>
        </w:rPr>
      </w:pPr>
    </w:p>
    <w:sectPr>
      <w:pgSz w:w="11906" w:h="16838"/>
      <w:pgMar w:top="1440" w:right="1800" w:bottom="1440" w:left="1800" w:header="851" w:footer="992"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420"/>
  <w:noPunctuationKerning w:val="1"/>
  <w:characterSpacingControl w:val="doNotCompress"/>
  <w:compat>
    <w:doNotSnapToGridInCell/>
    <w:doNotWrapTextWithPunct/>
    <w:doNotUseEastAsianBreakRules/>
    <w:growAutofit/>
    <w:useFELayout/>
    <w:compatSetting w:name="compatibilityMode" w:uri="http://schemas.microsoft.com/office/word" w:val="15"/>
    <w:compatSetting w:name="differentiateMultirowTableHeaders" w:uri="http://schemas.microsoft.com/office/word" w:val="1"/>
  </w:compat>
  <w:rsids>
    <w:rsidRoot w:val="00B061F9"/>
    <w:rsid w:val="001B71FA"/>
    <w:rsid w:val="00B061F9"/>
    <w:rsid w:val="35AA07F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Theme="minorEastAsia"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宋体" w:hAnsi="宋体" w:eastAsia="宋体" w:cs="宋体"/>
      <w:sz w:val="24"/>
      <w:szCs w:val="24"/>
      <w:lang w:val="en-US" w:eastAsia="zh-CN" w:bidi="ar-SA"/>
    </w:rPr>
  </w:style>
  <w:style w:type="character" w:default="1" w:styleId="4">
    <w:name w:val="Default Paragraph Font"/>
    <w:semiHidden/>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 w:type="paragraph" w:styleId="2">
    <w:name w:val="Normal (Web)"/>
    <w:basedOn w:val="1"/>
    <w:semiHidden/>
    <w:unhideWhenUsed/>
    <w:uiPriority w:val="99"/>
    <w:pPr>
      <w:spacing w:before="100" w:beforeAutospacing="1" w:after="100" w:afterAutospacing="1"/>
    </w:pPr>
  </w:style>
  <w:style w:type="character" w:styleId="5">
    <w:name w:val="Strong"/>
    <w:basedOn w:val="4"/>
    <w:qFormat/>
    <w:uiPriority w:val="22"/>
    <w:rPr>
      <w:b/>
      <w:bCs/>
    </w:rPr>
  </w:style>
  <w:style w:type="paragraph" w:customStyle="1" w:styleId="6">
    <w:name w:val="msonormal"/>
    <w:basedOn w:val="1"/>
    <w:semiHidden/>
    <w:uiPriority w:val="99"/>
    <w:pPr>
      <w:spacing w:before="100" w:beforeAutospacing="1" w:after="100" w:afterAutospacing="1"/>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黑体"/>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宋体"/>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6</Pages>
  <Words>3301</Words>
  <Characters>3452</Characters>
  <Lines>3</Lines>
  <Paragraphs>7</Paragraphs>
  <TotalTime>7</TotalTime>
  <ScaleCrop>false</ScaleCrop>
  <LinksUpToDate>false</LinksUpToDate>
  <CharactersWithSpaces>3622</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2025-05-07T07:37:00Z</dcterms:created>
  <dc:creator>8613642697717</dc:creator>
  <cp:lastModifiedBy>丽琼</cp:lastModifiedBy>
  <dcterms:modified xsi:type="dcterms:W3CDTF">2025-05-28T09:26:47Z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19431C4747814DD89163699FF02EB841_13</vt:lpwstr>
  </property>
</Properties>
</file>