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420"/>
        <w:rPr>
          <w:color w:val="auto"/>
        </w:rPr>
      </w:pPr>
      <w:r>
        <w:rPr>
          <w:color w:val="auto"/>
        </w:rPr>
        <w:t>新闻与传播学院</w:t>
      </w:r>
      <w:r>
        <w:rPr>
          <w:rFonts w:hint="eastAsia"/>
          <w:color w:val="auto"/>
        </w:rPr>
        <w:t>研究生导师年度招生资格审核工作</w:t>
      </w:r>
    </w:p>
    <w:p>
      <w:pPr>
        <w:pStyle w:val="2"/>
        <w:ind w:firstLine="420"/>
        <w:rPr>
          <w:rFonts w:hAnsi="Times New Roman"/>
          <w:color w:val="auto"/>
        </w:rPr>
      </w:pPr>
      <w:r>
        <w:rPr>
          <w:rFonts w:hint="eastAsia"/>
          <w:color w:val="auto"/>
        </w:rPr>
        <w:t>实施细则</w:t>
      </w:r>
    </w:p>
    <w:p>
      <w:pPr>
        <w:spacing w:line="360" w:lineRule="auto"/>
        <w:ind w:firstLine="480" w:firstLineChars="200"/>
        <w:rPr>
          <w:rFonts w:eastAsia="仿宋_GB2312"/>
          <w:color w:val="auto"/>
          <w:sz w:val="24"/>
        </w:rPr>
      </w:pPr>
      <w:r>
        <w:rPr>
          <w:rFonts w:eastAsia="仿宋_GB2312"/>
          <w:color w:val="auto"/>
          <w:sz w:val="24"/>
        </w:rPr>
        <w:t>为保证研究生培养质量，根据《华南理工大学研究生导师年度招生资格审核办法（</w:t>
      </w:r>
      <w:r>
        <w:rPr>
          <w:rFonts w:hint="eastAsia" w:eastAsia="仿宋_GB2312"/>
          <w:color w:val="auto"/>
          <w:sz w:val="24"/>
          <w:u w:val="single"/>
        </w:rPr>
        <w:t>修订</w:t>
      </w:r>
      <w:r>
        <w:rPr>
          <w:rFonts w:eastAsia="仿宋_GB2312"/>
          <w:color w:val="auto"/>
          <w:sz w:val="24"/>
        </w:rPr>
        <w:t>）》，制定</w:t>
      </w:r>
      <w:r>
        <w:rPr>
          <w:rFonts w:hint="eastAsia" w:eastAsia="仿宋_GB2312"/>
          <w:color w:val="auto"/>
          <w:sz w:val="24"/>
        </w:rPr>
        <w:t>本细则。</w:t>
      </w:r>
    </w:p>
    <w:p>
      <w:pPr>
        <w:pStyle w:val="3"/>
        <w:rPr>
          <w:rFonts w:ascii="Times New Roman" w:hAnsi="Times New Roman"/>
          <w:color w:val="auto"/>
        </w:rPr>
      </w:pPr>
      <w:r>
        <w:rPr>
          <w:rFonts w:ascii="Times New Roman" w:hAnsi="Times New Roman"/>
          <w:color w:val="auto"/>
        </w:rPr>
        <w:t>一、审核对象</w:t>
      </w:r>
    </w:p>
    <w:p>
      <w:pPr>
        <w:tabs>
          <w:tab w:val="left" w:pos="0"/>
        </w:tabs>
        <w:spacing w:line="360" w:lineRule="auto"/>
        <w:ind w:firstLine="480" w:firstLineChars="200"/>
        <w:rPr>
          <w:rFonts w:eastAsia="仿宋_GB2312"/>
          <w:color w:val="auto"/>
          <w:sz w:val="24"/>
        </w:rPr>
      </w:pPr>
      <w:r>
        <w:rPr>
          <w:rFonts w:eastAsia="仿宋_GB2312"/>
          <w:color w:val="auto"/>
          <w:kern w:val="0"/>
          <w:sz w:val="24"/>
        </w:rPr>
        <w:t>我院在岗的导师，在审核当年的</w:t>
      </w:r>
      <w:r>
        <w:rPr>
          <w:rFonts w:hint="eastAsia" w:eastAsia="仿宋_GB2312"/>
          <w:color w:val="auto"/>
          <w:kern w:val="0"/>
          <w:sz w:val="24"/>
        </w:rPr>
        <w:t>8</w:t>
      </w:r>
      <w:r>
        <w:rPr>
          <w:rFonts w:eastAsia="仿宋_GB2312"/>
          <w:color w:val="auto"/>
          <w:kern w:val="0"/>
          <w:sz w:val="24"/>
        </w:rPr>
        <w:t>月</w:t>
      </w:r>
      <w:r>
        <w:rPr>
          <w:rFonts w:hint="eastAsia" w:eastAsia="仿宋_GB2312"/>
          <w:color w:val="auto"/>
          <w:kern w:val="0"/>
          <w:sz w:val="24"/>
        </w:rPr>
        <w:t>31</w:t>
      </w:r>
      <w:r>
        <w:rPr>
          <w:rFonts w:eastAsia="仿宋_GB2312"/>
          <w:color w:val="auto"/>
          <w:kern w:val="0"/>
          <w:sz w:val="24"/>
        </w:rPr>
        <w:t>日前未达到停止招生年龄限制且下一年度仍继续招生的导师。</w:t>
      </w:r>
    </w:p>
    <w:p>
      <w:pPr>
        <w:pStyle w:val="3"/>
        <w:rPr>
          <w:rFonts w:ascii="Times New Roman" w:hAnsi="Times New Roman"/>
          <w:color w:val="auto"/>
        </w:rPr>
      </w:pPr>
      <w:r>
        <w:rPr>
          <w:rFonts w:ascii="Times New Roman" w:hAnsi="Times New Roman"/>
          <w:color w:val="auto"/>
        </w:rPr>
        <w:t>二、考核期限及办法</w:t>
      </w:r>
    </w:p>
    <w:p>
      <w:pPr>
        <w:spacing w:line="360" w:lineRule="auto"/>
        <w:ind w:firstLine="480" w:firstLineChars="200"/>
        <w:rPr>
          <w:rFonts w:eastAsia="仿宋_GB2312"/>
          <w:color w:val="auto"/>
          <w:kern w:val="0"/>
          <w:sz w:val="24"/>
        </w:rPr>
      </w:pPr>
      <w:r>
        <w:rPr>
          <w:rFonts w:eastAsia="仿宋_GB2312"/>
          <w:color w:val="auto"/>
          <w:kern w:val="0"/>
          <w:sz w:val="24"/>
        </w:rPr>
        <w:t>导师招生资格审核于</w:t>
      </w:r>
      <w:r>
        <w:rPr>
          <w:rFonts w:hint="eastAsia" w:eastAsia="仿宋_GB2312"/>
          <w:color w:val="auto"/>
          <w:kern w:val="0"/>
          <w:sz w:val="24"/>
        </w:rPr>
        <w:t>6</w:t>
      </w:r>
      <w:r>
        <w:rPr>
          <w:rFonts w:eastAsia="仿宋_GB2312"/>
          <w:color w:val="auto"/>
          <w:kern w:val="0"/>
          <w:sz w:val="24"/>
        </w:rPr>
        <w:t>月份进行，考核期限以4年为一个周期。考核期数据以考核期前4年学院的科研统计为准。</w:t>
      </w:r>
      <w:r>
        <w:rPr>
          <w:rFonts w:hint="eastAsia" w:eastAsia="仿宋_GB2312"/>
          <w:color w:val="auto"/>
          <w:kern w:val="0"/>
          <w:sz w:val="24"/>
        </w:rPr>
        <w:t>例如，2019年硕导资格审查，考核数据就以2018年、2017年、2016年、2015年四年的数据为准。</w:t>
      </w:r>
    </w:p>
    <w:p>
      <w:pPr>
        <w:pStyle w:val="3"/>
        <w:rPr>
          <w:rFonts w:ascii="Times New Roman" w:hAnsi="Times New Roman"/>
          <w:color w:val="auto"/>
        </w:rPr>
      </w:pPr>
      <w:r>
        <w:rPr>
          <w:rFonts w:ascii="Times New Roman" w:hAnsi="Times New Roman"/>
          <w:color w:val="auto"/>
        </w:rPr>
        <w:t>三、研究生导师招生资格审核标准与审核结果</w:t>
      </w:r>
    </w:p>
    <w:p>
      <w:pPr>
        <w:spacing w:line="360" w:lineRule="auto"/>
        <w:ind w:firstLine="472" w:firstLineChars="196"/>
        <w:rPr>
          <w:rFonts w:eastAsia="仿宋_GB2312"/>
          <w:b/>
          <w:color w:val="auto"/>
          <w:sz w:val="24"/>
        </w:rPr>
      </w:pPr>
      <w:r>
        <w:rPr>
          <w:rFonts w:eastAsia="仿宋_GB2312"/>
          <w:b/>
          <w:color w:val="auto"/>
          <w:sz w:val="24"/>
        </w:rPr>
        <w:t>（一）指导</w:t>
      </w:r>
      <w:r>
        <w:rPr>
          <w:rFonts w:hint="eastAsia" w:eastAsia="仿宋_GB2312"/>
          <w:b/>
          <w:color w:val="auto"/>
          <w:sz w:val="24"/>
        </w:rPr>
        <w:t>学术型硕士</w:t>
      </w:r>
      <w:r>
        <w:rPr>
          <w:rFonts w:eastAsia="仿宋_GB2312"/>
          <w:b/>
          <w:color w:val="auto"/>
          <w:sz w:val="24"/>
        </w:rPr>
        <w:t>研究生的基本条件</w:t>
      </w:r>
    </w:p>
    <w:p>
      <w:pPr>
        <w:spacing w:line="360" w:lineRule="auto"/>
        <w:ind w:firstLine="480" w:firstLineChars="200"/>
        <w:rPr>
          <w:rFonts w:eastAsia="仿宋_GB2312"/>
          <w:color w:val="auto"/>
          <w:sz w:val="24"/>
        </w:rPr>
      </w:pPr>
      <w:r>
        <w:rPr>
          <w:rFonts w:eastAsia="仿宋_GB2312"/>
          <w:color w:val="auto"/>
          <w:sz w:val="24"/>
        </w:rPr>
        <w:t>近4年</w:t>
      </w:r>
      <w:r>
        <w:rPr>
          <w:rFonts w:hint="eastAsia" w:eastAsia="仿宋_GB2312"/>
          <w:color w:val="auto"/>
          <w:sz w:val="24"/>
        </w:rPr>
        <w:t>符合以下条件之一</w:t>
      </w:r>
      <w:r>
        <w:rPr>
          <w:rFonts w:eastAsia="仿宋_GB2312"/>
          <w:color w:val="auto"/>
          <w:sz w:val="24"/>
        </w:rPr>
        <w:t>：</w:t>
      </w:r>
    </w:p>
    <w:p>
      <w:pPr>
        <w:spacing w:line="360" w:lineRule="auto"/>
        <w:ind w:firstLine="480" w:firstLineChars="200"/>
        <w:rPr>
          <w:rFonts w:eastAsia="仿宋_GB2312"/>
          <w:color w:val="auto"/>
          <w:sz w:val="24"/>
        </w:rPr>
      </w:pPr>
      <w:r>
        <w:rPr>
          <w:rFonts w:hint="eastAsia" w:eastAsia="仿宋_GB2312"/>
          <w:color w:val="auto"/>
          <w:sz w:val="24"/>
        </w:rPr>
        <w:t>1）</w:t>
      </w:r>
      <w:r>
        <w:rPr>
          <w:rFonts w:eastAsia="仿宋_GB2312"/>
          <w:color w:val="auto"/>
          <w:sz w:val="24"/>
        </w:rPr>
        <w:t>发表4篇以上</w:t>
      </w:r>
      <w:r>
        <w:rPr>
          <w:rFonts w:hint="eastAsia" w:eastAsia="仿宋_GB2312"/>
          <w:color w:val="auto"/>
          <w:sz w:val="24"/>
        </w:rPr>
        <w:t>CSSCI（D类）期刊论文，或者A类1篇，或者B类2篇,或者C类3篇（根据《华南理工大学哲学社会科学研究成果分类方案》执行。学校规定的决策咨询成果也有效；出版专著1部可折算为2篇</w:t>
      </w:r>
      <w:r>
        <w:rPr>
          <w:rFonts w:eastAsia="仿宋_GB2312"/>
          <w:color w:val="auto"/>
          <w:sz w:val="24"/>
        </w:rPr>
        <w:t>CSSCI期刊论文</w:t>
      </w:r>
      <w:r>
        <w:rPr>
          <w:rFonts w:hint="eastAsia" w:eastAsia="仿宋_GB2312"/>
          <w:color w:val="auto"/>
          <w:sz w:val="24"/>
        </w:rPr>
        <w:t>，仅折算1次，由学院学术委员会认定）；</w:t>
      </w:r>
      <w:bookmarkStart w:id="0" w:name="_GoBack"/>
      <w:bookmarkEnd w:id="0"/>
    </w:p>
    <w:p>
      <w:pPr>
        <w:spacing w:line="360" w:lineRule="auto"/>
        <w:ind w:firstLine="480" w:firstLineChars="200"/>
        <w:rPr>
          <w:rFonts w:eastAsia="仿宋_GB2312"/>
          <w:color w:val="auto"/>
          <w:sz w:val="24"/>
        </w:rPr>
      </w:pPr>
      <w:r>
        <w:rPr>
          <w:rFonts w:hint="eastAsia" w:eastAsia="仿宋_GB2312"/>
          <w:color w:val="auto"/>
          <w:sz w:val="24"/>
        </w:rPr>
        <w:t>2）立项1项国家级项目；</w:t>
      </w:r>
    </w:p>
    <w:p>
      <w:pPr>
        <w:spacing w:line="360" w:lineRule="auto"/>
        <w:ind w:firstLine="480" w:firstLineChars="200"/>
        <w:rPr>
          <w:rFonts w:eastAsia="仿宋_GB2312"/>
          <w:color w:val="auto"/>
          <w:sz w:val="24"/>
        </w:rPr>
      </w:pPr>
      <w:r>
        <w:rPr>
          <w:rFonts w:hint="eastAsia" w:eastAsia="仿宋_GB2312"/>
          <w:color w:val="auto"/>
          <w:sz w:val="24"/>
        </w:rPr>
        <w:t>3）作为负责人获批省级以上科研平台负责人（含广州市重点科研平台）一个；</w:t>
      </w:r>
    </w:p>
    <w:p>
      <w:pPr>
        <w:spacing w:line="360" w:lineRule="auto"/>
        <w:ind w:firstLine="480" w:firstLineChars="200"/>
        <w:rPr>
          <w:rFonts w:eastAsia="仿宋_GB2312"/>
          <w:color w:val="auto"/>
          <w:sz w:val="24"/>
        </w:rPr>
      </w:pPr>
      <w:r>
        <w:rPr>
          <w:rFonts w:hint="eastAsia" w:eastAsia="仿宋_GB2312"/>
          <w:color w:val="auto"/>
          <w:sz w:val="24"/>
        </w:rPr>
        <w:t>4）立项2个省部级以上项目；</w:t>
      </w:r>
    </w:p>
    <w:p>
      <w:pPr>
        <w:spacing w:line="360" w:lineRule="auto"/>
        <w:ind w:firstLine="480" w:firstLineChars="200"/>
        <w:rPr>
          <w:rFonts w:eastAsia="仿宋_GB2312"/>
          <w:color w:val="auto"/>
          <w:sz w:val="24"/>
        </w:rPr>
      </w:pPr>
      <w:r>
        <w:rPr>
          <w:rFonts w:hint="eastAsia" w:eastAsia="仿宋_GB2312"/>
          <w:color w:val="auto"/>
          <w:sz w:val="24"/>
        </w:rPr>
        <w:t>5）获得省部级（社科类、科技类、教学教研类）以上奖项。其中社科类、科技类一等奖排名前五，二等奖排名前三，三等奖排名第一；教学教研类一等奖排名前三，二等奖排名前二，三等奖排名第一；</w:t>
      </w:r>
    </w:p>
    <w:p>
      <w:pPr>
        <w:spacing w:line="360" w:lineRule="auto"/>
        <w:ind w:firstLine="480" w:firstLineChars="200"/>
        <w:rPr>
          <w:rFonts w:eastAsia="仿宋_GB2312"/>
          <w:color w:val="auto"/>
          <w:sz w:val="24"/>
        </w:rPr>
      </w:pPr>
      <w:r>
        <w:rPr>
          <w:rFonts w:hint="eastAsia" w:eastAsia="仿宋_GB2312"/>
          <w:color w:val="auto"/>
          <w:sz w:val="24"/>
        </w:rPr>
        <w:t>6）立项1个省部级及以上项目并发表2篇CSSCI期刊论文。</w:t>
      </w:r>
    </w:p>
    <w:p>
      <w:pPr>
        <w:spacing w:line="360" w:lineRule="auto"/>
        <w:ind w:firstLine="480" w:firstLineChars="200"/>
        <w:rPr>
          <w:rFonts w:eastAsia="仿宋_GB2312"/>
          <w:color w:val="auto"/>
          <w:kern w:val="0"/>
          <w:sz w:val="24"/>
        </w:rPr>
      </w:pPr>
      <w:r>
        <w:rPr>
          <w:rFonts w:eastAsia="仿宋_GB2312"/>
          <w:color w:val="auto"/>
          <w:kern w:val="0"/>
          <w:sz w:val="24"/>
        </w:rPr>
        <w:t>未达到基本</w:t>
      </w:r>
      <w:r>
        <w:rPr>
          <w:rFonts w:hint="eastAsia" w:eastAsia="仿宋_GB2312"/>
          <w:color w:val="auto"/>
          <w:kern w:val="0"/>
          <w:sz w:val="24"/>
        </w:rPr>
        <w:t>条件</w:t>
      </w:r>
      <w:r>
        <w:rPr>
          <w:rFonts w:eastAsia="仿宋_GB2312"/>
          <w:color w:val="auto"/>
          <w:kern w:val="0"/>
          <w:sz w:val="24"/>
        </w:rPr>
        <w:t>的导师，暂停下一年度招生。</w:t>
      </w:r>
    </w:p>
    <w:p>
      <w:pPr>
        <w:spacing w:line="360" w:lineRule="auto"/>
        <w:ind w:firstLine="480" w:firstLineChars="200"/>
        <w:rPr>
          <w:rFonts w:eastAsia="仿宋_GB2312"/>
          <w:color w:val="auto"/>
          <w:sz w:val="24"/>
        </w:rPr>
      </w:pPr>
      <w:r>
        <w:rPr>
          <w:rFonts w:hint="eastAsia" w:eastAsia="仿宋_GB2312"/>
          <w:color w:val="auto"/>
          <w:kern w:val="0"/>
          <w:sz w:val="24"/>
        </w:rPr>
        <w:t>注：</w:t>
      </w:r>
      <w:r>
        <w:rPr>
          <w:rFonts w:hint="eastAsia" w:eastAsia="仿宋_GB2312"/>
          <w:color w:val="auto"/>
          <w:sz w:val="24"/>
        </w:rPr>
        <w:t>专业学位研究生导师也需要同时参加招生资格审核，基本条件按学校规定执行</w:t>
      </w:r>
      <w:r>
        <w:rPr>
          <w:rFonts w:eastAsia="仿宋_GB2312"/>
          <w:color w:val="auto"/>
          <w:sz w:val="24"/>
        </w:rPr>
        <w:t>。</w:t>
      </w:r>
    </w:p>
    <w:p>
      <w:pPr>
        <w:spacing w:line="360" w:lineRule="auto"/>
        <w:ind w:firstLine="480" w:firstLineChars="200"/>
        <w:rPr>
          <w:rFonts w:eastAsia="仿宋_GB2312"/>
          <w:color w:val="auto"/>
          <w:kern w:val="0"/>
          <w:sz w:val="24"/>
        </w:rPr>
      </w:pPr>
    </w:p>
    <w:p>
      <w:pPr>
        <w:spacing w:line="360" w:lineRule="auto"/>
        <w:ind w:firstLine="472" w:firstLineChars="196"/>
        <w:rPr>
          <w:rFonts w:eastAsia="仿宋_GB2312"/>
          <w:b/>
          <w:color w:val="auto"/>
          <w:sz w:val="24"/>
        </w:rPr>
      </w:pPr>
      <w:r>
        <w:rPr>
          <w:rFonts w:eastAsia="仿宋_GB2312"/>
          <w:b/>
          <w:color w:val="auto"/>
          <w:sz w:val="24"/>
        </w:rPr>
        <w:t>（二）指导研究生的学位论文评审结果</w:t>
      </w:r>
    </w:p>
    <w:p>
      <w:pPr>
        <w:spacing w:line="360" w:lineRule="auto"/>
        <w:ind w:firstLine="480" w:firstLineChars="200"/>
        <w:rPr>
          <w:rFonts w:eastAsia="仿宋_GB2312"/>
          <w:color w:val="auto"/>
          <w:kern w:val="0"/>
          <w:sz w:val="24"/>
        </w:rPr>
      </w:pPr>
      <w:r>
        <w:rPr>
          <w:rFonts w:eastAsia="仿宋_GB2312"/>
          <w:color w:val="auto"/>
          <w:kern w:val="0"/>
          <w:sz w:val="24"/>
        </w:rPr>
        <w:t>学位论文</w:t>
      </w:r>
      <w:r>
        <w:rPr>
          <w:rFonts w:hint="eastAsia" w:eastAsia="仿宋_GB2312"/>
          <w:color w:val="auto"/>
          <w:kern w:val="0"/>
          <w:sz w:val="24"/>
        </w:rPr>
        <w:t>的评审结果</w:t>
      </w:r>
      <w:r>
        <w:rPr>
          <w:rFonts w:eastAsia="仿宋_GB2312"/>
          <w:color w:val="auto"/>
          <w:kern w:val="0"/>
          <w:sz w:val="24"/>
        </w:rPr>
        <w:t>与导师招生资格</w:t>
      </w:r>
      <w:r>
        <w:rPr>
          <w:rFonts w:hint="eastAsia" w:eastAsia="仿宋_GB2312"/>
          <w:color w:val="auto"/>
          <w:kern w:val="0"/>
          <w:sz w:val="24"/>
        </w:rPr>
        <w:t>挂钩</w:t>
      </w:r>
      <w:r>
        <w:rPr>
          <w:rFonts w:eastAsia="仿宋_GB2312"/>
          <w:color w:val="auto"/>
          <w:kern w:val="0"/>
          <w:sz w:val="24"/>
        </w:rPr>
        <w:t>。</w:t>
      </w:r>
    </w:p>
    <w:p>
      <w:pPr>
        <w:spacing w:line="360" w:lineRule="auto"/>
        <w:ind w:firstLine="480" w:firstLineChars="200"/>
        <w:rPr>
          <w:rFonts w:eastAsia="仿宋_GB2312"/>
          <w:color w:val="auto"/>
          <w:kern w:val="0"/>
          <w:sz w:val="24"/>
        </w:rPr>
      </w:pPr>
      <w:r>
        <w:rPr>
          <w:rFonts w:hint="eastAsia" w:eastAsia="仿宋_GB2312"/>
          <w:color w:val="auto"/>
          <w:kern w:val="0"/>
          <w:sz w:val="24"/>
        </w:rPr>
        <w:t>1</w:t>
      </w:r>
      <w:r>
        <w:rPr>
          <w:rFonts w:eastAsia="仿宋_GB2312"/>
          <w:color w:val="auto"/>
          <w:kern w:val="0"/>
          <w:sz w:val="24"/>
        </w:rPr>
        <w:t xml:space="preserve">. </w:t>
      </w:r>
      <w:r>
        <w:rPr>
          <w:rFonts w:hint="eastAsia" w:eastAsia="仿宋_GB2312"/>
          <w:color w:val="auto"/>
          <w:kern w:val="0"/>
          <w:sz w:val="24"/>
        </w:rPr>
        <w:t>指导的硕士学位</w:t>
      </w:r>
      <w:r>
        <w:rPr>
          <w:rFonts w:eastAsia="仿宋_GB2312"/>
          <w:color w:val="auto"/>
          <w:kern w:val="0"/>
          <w:sz w:val="24"/>
        </w:rPr>
        <w:t>论文</w:t>
      </w:r>
      <w:r>
        <w:rPr>
          <w:rFonts w:hint="eastAsia" w:eastAsia="仿宋_GB2312"/>
          <w:color w:val="auto"/>
          <w:kern w:val="0"/>
          <w:sz w:val="24"/>
        </w:rPr>
        <w:t>经上级主管部门事后</w:t>
      </w:r>
      <w:r>
        <w:rPr>
          <w:rFonts w:eastAsia="仿宋_GB2312"/>
          <w:color w:val="auto"/>
          <w:kern w:val="0"/>
          <w:sz w:val="24"/>
        </w:rPr>
        <w:t>抽查结果</w:t>
      </w:r>
      <w:r>
        <w:rPr>
          <w:rFonts w:hint="eastAsia" w:eastAsia="仿宋_GB2312"/>
          <w:color w:val="auto"/>
          <w:kern w:val="0"/>
          <w:sz w:val="24"/>
        </w:rPr>
        <w:t>中有</w:t>
      </w:r>
      <w:r>
        <w:rPr>
          <w:rFonts w:eastAsia="仿宋_GB2312"/>
          <w:color w:val="auto"/>
          <w:kern w:val="0"/>
          <w:sz w:val="24"/>
        </w:rPr>
        <w:t>1篇</w:t>
      </w:r>
      <w:r>
        <w:rPr>
          <w:rFonts w:hint="eastAsia" w:eastAsia="仿宋_GB2312"/>
          <w:color w:val="auto"/>
          <w:kern w:val="0"/>
          <w:sz w:val="24"/>
        </w:rPr>
        <w:t>为“存在问题论文”的，连续暂停此类硕士生导师2年同类型硕士招生资格；</w:t>
      </w:r>
      <w:r>
        <w:rPr>
          <w:rFonts w:eastAsia="仿宋_GB2312"/>
          <w:color w:val="auto"/>
          <w:kern w:val="0"/>
          <w:sz w:val="24"/>
        </w:rPr>
        <w:t xml:space="preserve">2. </w:t>
      </w:r>
      <w:r>
        <w:rPr>
          <w:rFonts w:hint="eastAsia" w:eastAsia="仿宋_GB2312"/>
          <w:color w:val="auto"/>
          <w:kern w:val="0"/>
          <w:sz w:val="24"/>
        </w:rPr>
        <w:t>指导的硕士学位论文经学校事后抽查评审结果中有1篇为“存在问题学位论文”的，暂停该导师一年同类型硕士生招生资格；在上一年度的学位论文事后抽查评审结果中有2篇学位论文评审结果为“存在问题学位论文</w:t>
      </w:r>
      <w:r>
        <w:rPr>
          <w:rFonts w:eastAsia="仿宋_GB2312"/>
          <w:color w:val="auto"/>
          <w:kern w:val="0"/>
          <w:sz w:val="24"/>
        </w:rPr>
        <w:t>”</w:t>
      </w:r>
      <w:r>
        <w:rPr>
          <w:rFonts w:hint="eastAsia" w:eastAsia="仿宋_GB2312"/>
          <w:color w:val="auto"/>
          <w:kern w:val="0"/>
          <w:sz w:val="24"/>
        </w:rPr>
        <w:t>的，或近3年学位论文事后抽查有2年出现“存在问题学位论文</w:t>
      </w:r>
      <w:r>
        <w:rPr>
          <w:rFonts w:eastAsia="仿宋_GB2312"/>
          <w:color w:val="auto"/>
          <w:kern w:val="0"/>
          <w:sz w:val="24"/>
        </w:rPr>
        <w:t>”评审结果</w:t>
      </w:r>
      <w:r>
        <w:rPr>
          <w:rFonts w:hint="eastAsia" w:eastAsia="仿宋_GB2312"/>
          <w:color w:val="auto"/>
          <w:kern w:val="0"/>
          <w:sz w:val="24"/>
        </w:rPr>
        <w:t>的，连续暂停此类硕士生导师2年同类型硕士生招生资格。</w:t>
      </w:r>
    </w:p>
    <w:p>
      <w:pPr>
        <w:spacing w:line="360" w:lineRule="auto"/>
        <w:ind w:firstLine="480" w:firstLineChars="200"/>
        <w:rPr>
          <w:rFonts w:eastAsia="仿宋_GB2312"/>
          <w:color w:val="auto"/>
          <w:kern w:val="0"/>
          <w:sz w:val="24"/>
        </w:rPr>
      </w:pPr>
      <w:r>
        <w:rPr>
          <w:rFonts w:eastAsia="仿宋_GB2312"/>
          <w:color w:val="auto"/>
          <w:kern w:val="0"/>
          <w:sz w:val="24"/>
        </w:rPr>
        <w:t>。</w:t>
      </w:r>
    </w:p>
    <w:p>
      <w:pPr>
        <w:spacing w:line="360" w:lineRule="auto"/>
        <w:ind w:firstLine="472" w:firstLineChars="196"/>
        <w:rPr>
          <w:rFonts w:eastAsia="仿宋_GB2312"/>
          <w:b/>
          <w:color w:val="auto"/>
          <w:sz w:val="24"/>
        </w:rPr>
      </w:pPr>
      <w:r>
        <w:rPr>
          <w:rFonts w:eastAsia="仿宋_GB2312"/>
          <w:b/>
          <w:color w:val="auto"/>
          <w:sz w:val="24"/>
        </w:rPr>
        <w:t>（三）指导研究生数量要求</w:t>
      </w:r>
    </w:p>
    <w:p>
      <w:pPr>
        <w:spacing w:line="360" w:lineRule="auto"/>
        <w:ind w:firstLine="480" w:firstLineChars="200"/>
        <w:rPr>
          <w:rFonts w:eastAsia="仿宋_GB2312"/>
          <w:color w:val="auto"/>
          <w:kern w:val="0"/>
          <w:sz w:val="24"/>
        </w:rPr>
      </w:pPr>
      <w:r>
        <w:rPr>
          <w:rFonts w:eastAsia="仿宋_GB2312"/>
          <w:color w:val="auto"/>
          <w:kern w:val="0"/>
          <w:sz w:val="24"/>
        </w:rPr>
        <w:t>按照学校</w:t>
      </w:r>
      <w:r>
        <w:rPr>
          <w:rFonts w:hint="eastAsia" w:eastAsia="仿宋_GB2312"/>
          <w:color w:val="auto"/>
          <w:kern w:val="0"/>
          <w:sz w:val="24"/>
        </w:rPr>
        <w:t>和学院</w:t>
      </w:r>
      <w:r>
        <w:rPr>
          <w:rFonts w:eastAsia="仿宋_GB2312"/>
          <w:color w:val="auto"/>
          <w:kern w:val="0"/>
          <w:sz w:val="24"/>
        </w:rPr>
        <w:t>规定，导师每届招收全日制</w:t>
      </w:r>
      <w:r>
        <w:rPr>
          <w:rFonts w:hint="eastAsia" w:eastAsia="仿宋_GB2312"/>
          <w:color w:val="auto"/>
          <w:kern w:val="0"/>
          <w:sz w:val="24"/>
        </w:rPr>
        <w:t>学术型</w:t>
      </w:r>
      <w:r>
        <w:rPr>
          <w:rFonts w:eastAsia="仿宋_GB2312"/>
          <w:color w:val="auto"/>
          <w:kern w:val="0"/>
          <w:sz w:val="24"/>
        </w:rPr>
        <w:t>硕士研究生原则上不超过</w:t>
      </w:r>
      <w:r>
        <w:rPr>
          <w:rFonts w:hint="eastAsia" w:eastAsia="仿宋_GB2312"/>
          <w:color w:val="auto"/>
          <w:kern w:val="0"/>
          <w:sz w:val="24"/>
        </w:rPr>
        <w:t>2</w:t>
      </w:r>
      <w:r>
        <w:rPr>
          <w:rFonts w:eastAsia="仿宋_GB2312"/>
          <w:color w:val="auto"/>
          <w:kern w:val="0"/>
          <w:sz w:val="24"/>
        </w:rPr>
        <w:t>人</w:t>
      </w:r>
      <w:r>
        <w:rPr>
          <w:rFonts w:hint="eastAsia" w:eastAsia="仿宋_GB2312"/>
          <w:color w:val="auto"/>
          <w:kern w:val="0"/>
          <w:sz w:val="24"/>
        </w:rPr>
        <w:t>（其中推免生不得超过1人），学校另有招生指标奖励除外</w:t>
      </w:r>
      <w:r>
        <w:rPr>
          <w:rFonts w:eastAsia="仿宋_GB2312"/>
          <w:color w:val="auto"/>
          <w:kern w:val="0"/>
          <w:sz w:val="24"/>
        </w:rPr>
        <w:t>。</w:t>
      </w:r>
    </w:p>
    <w:p>
      <w:pPr>
        <w:spacing w:line="360" w:lineRule="auto"/>
        <w:ind w:firstLine="472" w:firstLineChars="196"/>
        <w:rPr>
          <w:rFonts w:eastAsia="仿宋_GB2312"/>
          <w:b/>
          <w:color w:val="auto"/>
          <w:sz w:val="24"/>
        </w:rPr>
      </w:pPr>
      <w:r>
        <w:rPr>
          <w:rFonts w:eastAsia="仿宋_GB2312"/>
          <w:b/>
          <w:color w:val="auto"/>
          <w:sz w:val="24"/>
        </w:rPr>
        <w:t>（四）其他情况</w:t>
      </w:r>
    </w:p>
    <w:p>
      <w:pPr>
        <w:spacing w:line="360" w:lineRule="auto"/>
        <w:ind w:firstLine="480" w:firstLineChars="200"/>
        <w:rPr>
          <w:rFonts w:eastAsia="仿宋_GB2312"/>
          <w:color w:val="auto"/>
          <w:kern w:val="0"/>
          <w:sz w:val="24"/>
        </w:rPr>
      </w:pPr>
      <w:r>
        <w:rPr>
          <w:rFonts w:eastAsia="仿宋_GB2312"/>
          <w:color w:val="auto"/>
          <w:kern w:val="0"/>
          <w:sz w:val="24"/>
        </w:rPr>
        <w:t>存在以下情况之一的，暂停下一年度相应层次的研究生招生</w:t>
      </w:r>
      <w:r>
        <w:rPr>
          <w:rFonts w:hint="eastAsia" w:eastAsia="仿宋_GB2312"/>
          <w:color w:val="auto"/>
          <w:kern w:val="0"/>
          <w:sz w:val="24"/>
        </w:rPr>
        <w:t>：</w:t>
      </w:r>
    </w:p>
    <w:p>
      <w:pPr>
        <w:spacing w:line="360" w:lineRule="auto"/>
        <w:ind w:firstLine="480" w:firstLineChars="200"/>
        <w:rPr>
          <w:rFonts w:eastAsia="仿宋_GB2312"/>
          <w:color w:val="auto"/>
          <w:kern w:val="0"/>
          <w:sz w:val="24"/>
        </w:rPr>
      </w:pPr>
      <w:r>
        <w:rPr>
          <w:rFonts w:eastAsia="仿宋_GB2312"/>
          <w:color w:val="auto"/>
          <w:kern w:val="0"/>
          <w:sz w:val="24"/>
        </w:rPr>
        <w:t>1．</w:t>
      </w:r>
      <w:r>
        <w:rPr>
          <w:rFonts w:hint="eastAsia" w:eastAsia="仿宋_GB2312"/>
          <w:color w:val="auto"/>
          <w:kern w:val="0"/>
          <w:sz w:val="24"/>
        </w:rPr>
        <w:t>累计与</w:t>
      </w:r>
      <w:r>
        <w:rPr>
          <w:rFonts w:eastAsia="仿宋_GB2312"/>
          <w:color w:val="auto"/>
          <w:kern w:val="0"/>
          <w:sz w:val="24"/>
        </w:rPr>
        <w:t>2</w:t>
      </w:r>
      <w:r>
        <w:rPr>
          <w:rFonts w:hint="eastAsia" w:eastAsia="仿宋_GB2312"/>
          <w:color w:val="auto"/>
          <w:kern w:val="0"/>
          <w:sz w:val="24"/>
        </w:rPr>
        <w:t>个及以上指导的研究生之间存在非学术争议矛盾而不能妥善解决，影响研究生培养，经核实为导师责任的；</w:t>
      </w:r>
    </w:p>
    <w:p>
      <w:pPr>
        <w:spacing w:line="360" w:lineRule="auto"/>
        <w:ind w:firstLine="480" w:firstLineChars="200"/>
        <w:rPr>
          <w:rFonts w:eastAsia="仿宋_GB2312"/>
          <w:color w:val="auto"/>
          <w:kern w:val="0"/>
          <w:sz w:val="24"/>
        </w:rPr>
      </w:pPr>
      <w:r>
        <w:rPr>
          <w:rFonts w:eastAsia="仿宋_GB2312"/>
          <w:color w:val="auto"/>
          <w:kern w:val="0"/>
          <w:sz w:val="24"/>
        </w:rPr>
        <w:t>2．不履行导师职责，不按有关规章制度要求完成研究生各培养环节的培养工作和资助，不能保证研究生培养质量，经多次劝说无效的；</w:t>
      </w:r>
    </w:p>
    <w:p>
      <w:pPr>
        <w:spacing w:line="360" w:lineRule="auto"/>
        <w:ind w:firstLine="480" w:firstLineChars="200"/>
        <w:rPr>
          <w:rFonts w:eastAsia="仿宋_GB2312"/>
          <w:color w:val="auto"/>
          <w:kern w:val="0"/>
          <w:sz w:val="24"/>
        </w:rPr>
      </w:pPr>
      <w:r>
        <w:rPr>
          <w:rFonts w:eastAsia="仿宋_GB2312"/>
          <w:color w:val="auto"/>
          <w:kern w:val="0"/>
          <w:sz w:val="24"/>
        </w:rPr>
        <w:t>3．新增列的导师连续3年不按要求参加学校组织的导师培训的。</w:t>
      </w:r>
    </w:p>
    <w:p>
      <w:pPr>
        <w:pStyle w:val="3"/>
        <w:rPr>
          <w:rFonts w:ascii="Times New Roman" w:hAnsi="Times New Roman"/>
          <w:color w:val="auto"/>
        </w:rPr>
      </w:pPr>
      <w:r>
        <w:rPr>
          <w:rFonts w:ascii="Times New Roman" w:hAnsi="Times New Roman"/>
          <w:color w:val="auto"/>
        </w:rPr>
        <w:t>四、研究生导师招生资格审核实施办法</w:t>
      </w:r>
    </w:p>
    <w:p>
      <w:pPr>
        <w:spacing w:line="360" w:lineRule="auto"/>
        <w:ind w:firstLine="480" w:firstLineChars="200"/>
        <w:rPr>
          <w:rFonts w:eastAsia="仿宋_GB2312"/>
          <w:color w:val="auto"/>
          <w:kern w:val="0"/>
          <w:sz w:val="24"/>
        </w:rPr>
      </w:pPr>
      <w:r>
        <w:rPr>
          <w:rFonts w:eastAsia="仿宋_GB2312"/>
          <w:color w:val="auto"/>
          <w:kern w:val="0"/>
          <w:sz w:val="24"/>
        </w:rPr>
        <w:t>1．每4年为一周期，在当年</w:t>
      </w:r>
      <w:r>
        <w:rPr>
          <w:rFonts w:hint="eastAsia" w:eastAsia="仿宋_GB2312"/>
          <w:color w:val="auto"/>
          <w:kern w:val="0"/>
          <w:sz w:val="24"/>
        </w:rPr>
        <w:t>6</w:t>
      </w:r>
      <w:r>
        <w:rPr>
          <w:rFonts w:eastAsia="仿宋_GB2312"/>
          <w:color w:val="auto"/>
          <w:kern w:val="0"/>
          <w:sz w:val="24"/>
        </w:rPr>
        <w:t>月按照细则规定对硕导招生资格进行审核,由学位评定分委员会将审核结果报学校学位办备案。</w:t>
      </w:r>
    </w:p>
    <w:p>
      <w:pPr>
        <w:spacing w:line="360" w:lineRule="auto"/>
        <w:ind w:firstLine="480" w:firstLineChars="200"/>
        <w:rPr>
          <w:rFonts w:eastAsia="仿宋_GB2312"/>
          <w:color w:val="auto"/>
          <w:kern w:val="0"/>
          <w:sz w:val="24"/>
        </w:rPr>
      </w:pPr>
      <w:r>
        <w:rPr>
          <w:rFonts w:eastAsia="仿宋_GB2312"/>
          <w:color w:val="auto"/>
          <w:kern w:val="0"/>
          <w:sz w:val="24"/>
        </w:rPr>
        <w:t>2．处理结果为减少招生指标、暂停招生、取消导师资格，若同时存在上述两种或三种审核</w:t>
      </w:r>
      <w:r>
        <w:rPr>
          <w:rFonts w:hint="eastAsia" w:eastAsia="仿宋_GB2312"/>
          <w:color w:val="auto"/>
          <w:kern w:val="0"/>
          <w:sz w:val="24"/>
        </w:rPr>
        <w:t>结果</w:t>
      </w:r>
      <w:r>
        <w:rPr>
          <w:rFonts w:eastAsia="仿宋_GB2312"/>
          <w:color w:val="auto"/>
          <w:kern w:val="0"/>
          <w:sz w:val="24"/>
        </w:rPr>
        <w:t>，按照最严重的结果进行处理。</w:t>
      </w:r>
    </w:p>
    <w:p>
      <w:pPr>
        <w:spacing w:line="360" w:lineRule="auto"/>
        <w:ind w:firstLine="480" w:firstLineChars="200"/>
        <w:rPr>
          <w:rFonts w:eastAsia="仿宋_GB2312"/>
          <w:color w:val="auto"/>
          <w:kern w:val="0"/>
          <w:sz w:val="24"/>
        </w:rPr>
      </w:pPr>
      <w:r>
        <w:rPr>
          <w:rFonts w:eastAsia="仿宋_GB2312"/>
          <w:color w:val="auto"/>
          <w:kern w:val="0"/>
          <w:sz w:val="24"/>
        </w:rPr>
        <w:t>3．研究生导师的审核结果经学院分会审议通过后，报学校学位办公室备案。对审核结果出现减少招生指标、暂停招生、或取消导师资格的导师，由学院分会告知本人。导师对审核结果持有异议的，可向学院和学校学位办提出申诉。学院和学校学位办根据导师申诉的情况进行核查后形成初步处理意见，报校学位评定委员会审议并作出最终决议。</w:t>
      </w:r>
    </w:p>
    <w:p>
      <w:pPr>
        <w:spacing w:line="360" w:lineRule="auto"/>
        <w:rPr>
          <w:rFonts w:eastAsia="仿宋_GB2312"/>
          <w:b/>
          <w:color w:val="auto"/>
          <w:sz w:val="24"/>
        </w:rPr>
      </w:pPr>
      <w:r>
        <w:rPr>
          <w:rFonts w:eastAsia="仿宋_GB2312"/>
          <w:b/>
          <w:color w:val="auto"/>
          <w:sz w:val="24"/>
        </w:rPr>
        <w:t>五、本细则由学院学位评定分委员会负责解释。</w:t>
      </w:r>
    </w:p>
    <w:p>
      <w:pPr>
        <w:spacing w:line="360" w:lineRule="auto"/>
        <w:ind w:firstLine="480" w:firstLineChars="200"/>
        <w:rPr>
          <w:b/>
          <w:color w:val="auto"/>
          <w:sz w:val="24"/>
        </w:rPr>
      </w:pPr>
      <w:r>
        <w:rPr>
          <w:rFonts w:eastAsia="仿宋_GB2312"/>
          <w:color w:val="auto"/>
          <w:sz w:val="24"/>
        </w:rPr>
        <w:t xml:space="preserve">                                          </w:t>
      </w:r>
    </w:p>
    <w:p>
      <w:pPr>
        <w:rPr>
          <w:color w:val="auto"/>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0238E"/>
    <w:rsid w:val="00022AC0"/>
    <w:rsid w:val="00092CB6"/>
    <w:rsid w:val="000D5C25"/>
    <w:rsid w:val="001C393B"/>
    <w:rsid w:val="001F52DA"/>
    <w:rsid w:val="00204738"/>
    <w:rsid w:val="00313FE4"/>
    <w:rsid w:val="0036395B"/>
    <w:rsid w:val="003A5765"/>
    <w:rsid w:val="004A296D"/>
    <w:rsid w:val="0050495B"/>
    <w:rsid w:val="005269BC"/>
    <w:rsid w:val="00607928"/>
    <w:rsid w:val="006248F4"/>
    <w:rsid w:val="0066709F"/>
    <w:rsid w:val="0068684A"/>
    <w:rsid w:val="00691C79"/>
    <w:rsid w:val="006C73DA"/>
    <w:rsid w:val="006D531B"/>
    <w:rsid w:val="006F7014"/>
    <w:rsid w:val="00732295"/>
    <w:rsid w:val="007A4C17"/>
    <w:rsid w:val="007E558B"/>
    <w:rsid w:val="008034E7"/>
    <w:rsid w:val="0080672E"/>
    <w:rsid w:val="008101F6"/>
    <w:rsid w:val="0082544E"/>
    <w:rsid w:val="00923D67"/>
    <w:rsid w:val="009433CA"/>
    <w:rsid w:val="0099096F"/>
    <w:rsid w:val="00994782"/>
    <w:rsid w:val="009D49CC"/>
    <w:rsid w:val="009F08B7"/>
    <w:rsid w:val="00A0190A"/>
    <w:rsid w:val="00AA0362"/>
    <w:rsid w:val="00AC1DF1"/>
    <w:rsid w:val="00AD0571"/>
    <w:rsid w:val="00AD0B81"/>
    <w:rsid w:val="00B2132E"/>
    <w:rsid w:val="00BC1EEB"/>
    <w:rsid w:val="00BE3740"/>
    <w:rsid w:val="00C2563F"/>
    <w:rsid w:val="00C327DE"/>
    <w:rsid w:val="00C66D9B"/>
    <w:rsid w:val="00D02B80"/>
    <w:rsid w:val="00D47FEF"/>
    <w:rsid w:val="00D6480F"/>
    <w:rsid w:val="00DB6244"/>
    <w:rsid w:val="00DB717C"/>
    <w:rsid w:val="00E0238E"/>
    <w:rsid w:val="00E701B0"/>
    <w:rsid w:val="00E74B0F"/>
    <w:rsid w:val="00E76F02"/>
    <w:rsid w:val="00E90AEE"/>
    <w:rsid w:val="00EB5F08"/>
    <w:rsid w:val="00EC7D37"/>
    <w:rsid w:val="00F63150"/>
    <w:rsid w:val="00F92173"/>
    <w:rsid w:val="00FE4439"/>
    <w:rsid w:val="00FF4154"/>
    <w:rsid w:val="00FF511B"/>
    <w:rsid w:val="04314262"/>
    <w:rsid w:val="12140C77"/>
    <w:rsid w:val="136A3099"/>
    <w:rsid w:val="13813D18"/>
    <w:rsid w:val="14FF2AB9"/>
    <w:rsid w:val="15F72394"/>
    <w:rsid w:val="1CFC69FB"/>
    <w:rsid w:val="1DA52338"/>
    <w:rsid w:val="24254BBE"/>
    <w:rsid w:val="28707D7A"/>
    <w:rsid w:val="29FF78A7"/>
    <w:rsid w:val="2F3A3469"/>
    <w:rsid w:val="30713C89"/>
    <w:rsid w:val="40626C81"/>
    <w:rsid w:val="41581571"/>
    <w:rsid w:val="41FB69A5"/>
    <w:rsid w:val="434E739C"/>
    <w:rsid w:val="45073361"/>
    <w:rsid w:val="46870095"/>
    <w:rsid w:val="4B032672"/>
    <w:rsid w:val="4C954C60"/>
    <w:rsid w:val="4D3A283B"/>
    <w:rsid w:val="4F7C5463"/>
    <w:rsid w:val="4FE810F7"/>
    <w:rsid w:val="537011ED"/>
    <w:rsid w:val="58257272"/>
    <w:rsid w:val="6693297D"/>
    <w:rsid w:val="688B24F5"/>
    <w:rsid w:val="6A4D42BA"/>
    <w:rsid w:val="6B9F6264"/>
    <w:rsid w:val="76FE4BA3"/>
    <w:rsid w:val="797B40D1"/>
    <w:rsid w:val="7A8218A2"/>
    <w:rsid w:val="7ACF2D51"/>
    <w:rsid w:val="7AE225A2"/>
    <w:rsid w:val="7AE91C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
    <w:qFormat/>
    <w:uiPriority w:val="0"/>
    <w:pPr>
      <w:keepNext/>
      <w:keepLines/>
      <w:spacing w:before="340" w:after="330" w:line="360" w:lineRule="auto"/>
      <w:ind w:right="25" w:rightChars="12"/>
      <w:jc w:val="center"/>
      <w:outlineLvl w:val="0"/>
    </w:pPr>
    <w:rPr>
      <w:rFonts w:ascii="宋体" w:hAnsi="宋体"/>
      <w:b/>
      <w:bCs/>
      <w:kern w:val="44"/>
      <w:sz w:val="32"/>
      <w:szCs w:val="32"/>
    </w:rPr>
  </w:style>
  <w:style w:type="paragraph" w:styleId="3">
    <w:name w:val="heading 2"/>
    <w:basedOn w:val="1"/>
    <w:next w:val="1"/>
    <w:link w:val="12"/>
    <w:qFormat/>
    <w:uiPriority w:val="0"/>
    <w:pPr>
      <w:keepNext/>
      <w:keepLines/>
      <w:spacing w:line="360" w:lineRule="auto"/>
      <w:jc w:val="left"/>
      <w:outlineLvl w:val="1"/>
    </w:pPr>
    <w:rPr>
      <w:rFonts w:ascii="仿宋_GB2312" w:hAnsi="Arial" w:eastAsia="仿宋_GB2312"/>
      <w:b/>
      <w:bCs/>
      <w:sz w:val="24"/>
    </w:rPr>
  </w:style>
  <w:style w:type="character" w:default="1" w:styleId="9">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kern w:val="0"/>
      <w:sz w:val="24"/>
    </w:rPr>
  </w:style>
  <w:style w:type="character" w:styleId="10">
    <w:name w:val="Strong"/>
    <w:basedOn w:val="9"/>
    <w:qFormat/>
    <w:uiPriority w:val="22"/>
    <w:rPr>
      <w:b/>
    </w:rPr>
  </w:style>
  <w:style w:type="character" w:customStyle="1" w:styleId="11">
    <w:name w:val="标题 1 Char"/>
    <w:basedOn w:val="9"/>
    <w:link w:val="2"/>
    <w:qFormat/>
    <w:uiPriority w:val="0"/>
    <w:rPr>
      <w:rFonts w:ascii="宋体" w:hAnsi="宋体" w:eastAsia="宋体" w:cs="Times New Roman"/>
      <w:b/>
      <w:bCs/>
      <w:kern w:val="44"/>
      <w:sz w:val="32"/>
      <w:szCs w:val="32"/>
    </w:rPr>
  </w:style>
  <w:style w:type="character" w:customStyle="1" w:styleId="12">
    <w:name w:val="标题 2 Char"/>
    <w:basedOn w:val="9"/>
    <w:link w:val="3"/>
    <w:qFormat/>
    <w:uiPriority w:val="0"/>
    <w:rPr>
      <w:rFonts w:ascii="仿宋_GB2312" w:hAnsi="Arial" w:eastAsia="仿宋_GB2312" w:cs="Times New Roman"/>
      <w:b/>
      <w:bCs/>
      <w:sz w:val="24"/>
      <w:szCs w:val="24"/>
    </w:rPr>
  </w:style>
  <w:style w:type="character" w:customStyle="1" w:styleId="13">
    <w:name w:val="页眉 Char"/>
    <w:basedOn w:val="9"/>
    <w:link w:val="6"/>
    <w:qFormat/>
    <w:uiPriority w:val="99"/>
    <w:rPr>
      <w:rFonts w:ascii="Times New Roman" w:hAnsi="Times New Roman" w:eastAsia="宋体" w:cs="Times New Roman"/>
      <w:sz w:val="18"/>
      <w:szCs w:val="18"/>
    </w:rPr>
  </w:style>
  <w:style w:type="character" w:customStyle="1" w:styleId="14">
    <w:name w:val="页脚 Char"/>
    <w:basedOn w:val="9"/>
    <w:link w:val="5"/>
    <w:qFormat/>
    <w:uiPriority w:val="99"/>
    <w:rPr>
      <w:rFonts w:ascii="Times New Roman" w:hAnsi="Times New Roman" w:eastAsia="宋体" w:cs="Times New Roman"/>
      <w:sz w:val="18"/>
      <w:szCs w:val="18"/>
    </w:rPr>
  </w:style>
  <w:style w:type="character" w:customStyle="1" w:styleId="15">
    <w:name w:val="批注框文本 Char"/>
    <w:basedOn w:val="9"/>
    <w:link w:val="4"/>
    <w:semiHidden/>
    <w:qFormat/>
    <w:uiPriority w:val="99"/>
    <w:rPr>
      <w:kern w:val="2"/>
      <w:sz w:val="18"/>
      <w:szCs w:val="18"/>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229</Words>
  <Characters>1306</Characters>
  <Lines>10</Lines>
  <Paragraphs>3</Paragraphs>
  <TotalTime>6</TotalTime>
  <ScaleCrop>false</ScaleCrop>
  <LinksUpToDate>false</LinksUpToDate>
  <CharactersWithSpaces>1532</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2019-04-23T07:20:00Z</dcterms:created>
  <dc:creator>微软用户</dc:creator>
  <cp:lastModifiedBy>Lynn</cp:lastModifiedBy>
  <dcterms:modified xsi:type="dcterms:W3CDTF">2019-05-22T09:54:21Z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