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7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sz w:val="44"/>
          <w:szCs w:val="44"/>
        </w:rPr>
        <w:t>广东省高校金融建模大赛竞赛章程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spacing w:line="520" w:lineRule="exact"/>
        <w:ind w:left="0" w:firstLine="640"/>
        <w:rPr>
          <w:rStyle w:val="4"/>
          <w:rFonts w:ascii="方正仿宋_GBK" w:hAnsi="仿宋_GB2312" w:eastAsia="方正仿宋_GBK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方正仿宋_GBK" w:hAnsi="仿宋_GB2312" w:eastAsia="方正仿宋_GBK" w:cs="仿宋_GB2312"/>
          <w:sz w:val="32"/>
          <w:szCs w:val="32"/>
        </w:rPr>
        <w:t>总则</w:t>
      </w:r>
      <w:r>
        <w:rPr>
          <w:rStyle w:val="4"/>
          <w:rFonts w:eastAsia="方正仿宋_GBK"/>
          <w:sz w:val="32"/>
          <w:szCs w:val="32"/>
        </w:rPr>
        <w:t> </w:t>
      </w:r>
    </w:p>
    <w:p>
      <w:pPr>
        <w:pStyle w:val="6"/>
        <w:adjustRightInd w:val="0"/>
        <w:snapToGrid w:val="0"/>
        <w:spacing w:line="520" w:lineRule="exact"/>
        <w:ind w:firstLine="64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第三届广东大学生金融建模大赛暨粤沪两地联谊赛（以下简称竞赛）是面向粤沪两地高校大学生开展的金融建模大赛。竞赛围绕金融领域热点，以金融应用服务为目标，拓展学生应用能力，发现潜能激发学习兴趣，增强金融教育的社会适用性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20" w:lineRule="exact"/>
        <w:ind w:left="0" w:firstLine="640"/>
        <w:rPr>
          <w:rStyle w:val="4"/>
          <w:rFonts w:ascii="方正仿宋_GBK" w:hAnsi="仿宋_GB2312" w:eastAsia="方正仿宋_GBK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方正仿宋_GBK" w:hAnsi="仿宋_GB2312" w:eastAsia="方正仿宋_GBK" w:cs="仿宋_GB2312"/>
          <w:sz w:val="32"/>
          <w:szCs w:val="32"/>
        </w:rPr>
        <w:t>竞赛内容</w:t>
      </w:r>
    </w:p>
    <w:p>
      <w:pPr>
        <w:pStyle w:val="6"/>
        <w:adjustRightInd w:val="0"/>
        <w:snapToGrid w:val="0"/>
        <w:spacing w:line="520" w:lineRule="exact"/>
        <w:ind w:firstLine="64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竞赛题目：利用2007-2013的股票市场数据，做出能在股票市场盈利的量化对冲策略。</w:t>
      </w:r>
    </w:p>
    <w:p>
      <w:pPr>
        <w:pStyle w:val="6"/>
        <w:adjustRightInd w:val="0"/>
        <w:snapToGrid w:val="0"/>
        <w:spacing w:line="520" w:lineRule="exact"/>
        <w:ind w:firstLine="64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评分依据：侧重模型量化方法的多样性与创新性。依据年化收益率、最大回撤、夏普比率、胜率、品种通用性等指标进行综合评比。要求参赛者提交论文、模型测试报告、量化模型的源码（Python编写）和收益率曲线变化图。参加复赛同学才需提交大赛论文，文档格式及测试报告要素可在大赛官网下载中心下载。凡未能按照竞赛组委会要求的格式提供参赛模型的，一律按弃赛处理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20" w:lineRule="exact"/>
        <w:ind w:left="0" w:firstLine="640"/>
        <w:rPr>
          <w:rFonts w:ascii="方正仿宋_GBK" w:hAnsi="仿宋_GB2312" w:eastAsia="方正仿宋_GBK" w:cs="仿宋_GB2312"/>
          <w:sz w:val="32"/>
          <w:szCs w:val="32"/>
        </w:rPr>
      </w:pPr>
      <w:r>
        <w:rPr>
          <w:rStyle w:val="4"/>
          <w:rFonts w:hint="eastAsia" w:ascii="方正仿宋_GBK" w:hAnsi="仿宋_GB2312" w:eastAsia="方正仿宋_GBK" w:cs="仿宋_GB2312"/>
          <w:sz w:val="32"/>
          <w:szCs w:val="32"/>
        </w:rPr>
        <w:t>竞赛形式、规则和纪律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1. 竞赛题目以大赛官网发布的统一试题为准，参赛团队或个人需独立写作，提交作品，组委会对提交的作品进行集中评审。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2．参赛选手可选择1名指导教师进行赛前辅导和参赛组织工作。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3．竞赛期间参赛队员可以参阅各种资料，但不能抄袭。参赛队员必须讲究诚信，发现违纪行为，竞赛委员会将严肃处理，雷同参赛模型一律视为废卷。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4．竞赛开始后，赛题将公布在指定的网址供参赛队选择下载，参赛队在规定时间内完成参赛模型，并准时将参赛模型按指定方式提交。迟交的参赛模型不能参加评审。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5．各校竞赛组织者负责竞赛的组织和纪律监督工作，保证本竞赛的规范性和公正性。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20" w:lineRule="exact"/>
        <w:ind w:left="0" w:firstLine="640"/>
        <w:rPr>
          <w:rStyle w:val="4"/>
          <w:rFonts w:ascii="方正仿宋_GBK" w:hAnsi="仿宋_GB2312" w:eastAsia="方正仿宋_GBK" w:cs="仿宋_GB2312"/>
          <w:sz w:val="32"/>
          <w:szCs w:val="32"/>
        </w:rPr>
      </w:pPr>
      <w:r>
        <w:rPr>
          <w:rStyle w:val="4"/>
          <w:rFonts w:hint="eastAsia" w:ascii="方正仿宋_GBK" w:hAnsi="仿宋_GB2312" w:eastAsia="方正仿宋_GBK" w:cs="仿宋_GB2312"/>
          <w:sz w:val="32"/>
          <w:szCs w:val="32"/>
        </w:rPr>
        <w:t>组织形式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竞赛由团省委、省教育厅、省科技厅、省科协、省学联联合主办，广东金融学院、上海财经大学联合承办，凯纳资本、广发证券联合协办。主办单位负责发布比赛通知、编制表彰文件并制作获奖证书；承办单位负责发动、报名、拟定赛题、审阅和评奖、举办颁奖仪式、发放获奖证书等；各高校团委负责本校的宣传、发动、报名、监管等工作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20" w:lineRule="exact"/>
        <w:ind w:left="0" w:firstLine="640"/>
        <w:rPr>
          <w:rStyle w:val="4"/>
          <w:rFonts w:ascii="方正仿宋_GBK" w:hAnsi="仿宋_GB2312" w:eastAsia="方正仿宋_GBK" w:cs="仿宋_GB2312"/>
          <w:sz w:val="32"/>
          <w:szCs w:val="32"/>
        </w:rPr>
      </w:pPr>
      <w:r>
        <w:rPr>
          <w:rStyle w:val="4"/>
          <w:rFonts w:eastAsia="方正仿宋_GBK"/>
          <w:sz w:val="32"/>
          <w:szCs w:val="32"/>
        </w:rPr>
        <w:t> </w:t>
      </w:r>
      <w:r>
        <w:rPr>
          <w:rStyle w:val="4"/>
          <w:rFonts w:hint="eastAsia" w:ascii="方正仿宋_GBK" w:hAnsi="仿宋_GB2312" w:eastAsia="方正仿宋_GBK" w:cs="仿宋_GB2312"/>
          <w:sz w:val="32"/>
          <w:szCs w:val="32"/>
        </w:rPr>
        <w:t>奖项设置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竞赛组委会组织。奖项设置分为一等奖、二等奖、三等奖。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20" w:lineRule="exact"/>
        <w:ind w:left="0" w:firstLine="640"/>
        <w:rPr>
          <w:rFonts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 </w:t>
      </w: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异议期制度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竞赛获奖名单公示之日起的一个星期内，任何个人和单位可以提出异议，由竞赛委员会负责受理。受理异议的重点是违反竞赛比赛规则的行为，不公正的评阅等。异议须以书面形式提出。个人提出的异议，须写明本人的真实姓名、工作单位、通信地址（包括联系电话或电子邮件地址等），并有本人的亲笔签名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20" w:lineRule="exact"/>
        <w:ind w:left="0" w:firstLine="640"/>
        <w:rPr>
          <w:rStyle w:val="4"/>
          <w:rFonts w:ascii="方正仿宋_GBK" w:hAnsi="仿宋_GB2312" w:eastAsia="方正仿宋_GBK" w:cs="仿宋_GB2312"/>
          <w:bCs w:val="0"/>
          <w:sz w:val="32"/>
          <w:szCs w:val="32"/>
        </w:rPr>
      </w:pPr>
      <w:r>
        <w:rPr>
          <w:rStyle w:val="4"/>
          <w:rFonts w:hint="eastAsia" w:ascii="方正仿宋_GBK" w:hAnsi="仿宋_GB2312" w:eastAsia="方正仿宋_GBK" w:cs="仿宋_GB2312"/>
          <w:sz w:val="32"/>
          <w:szCs w:val="32"/>
        </w:rPr>
        <w:t>阅卷组织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一、评阅专家组的组成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1、评阅专家组（以下简称专家组）成员由竞赛组委会聘请。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2、专家组成员应该是金融建模方面业务水平高、作风公正的专家，主要来自高校、知名金融企业。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3、专家组可以由参赛学校推荐指导教师参与评卷，原则上同一学校不得超过1人。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4、专家组（或小组）设组长1名，可根据需要设副组长1-2名。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二、评阅工作的程序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1、评阅前，应由竞赛组委会负责对参赛模型进行编号，编号后的参赛模型不能有暴露参赛者学校和参赛者身份的任何信息, 并在严格实行回避制度的前提下，按照一定程序将参赛模型分配给评阅专家，使每位专家不能评阅自己所属学校参赛队的参赛模型。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2、评阅前，专家组（或小组）应该对赛题的理解和可能的解题思路进行充分、认真讨论，必须保证有充足的讨论时间，就评阅标准和评阅细则达成共识。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3、专家组（或小组）应充分保证用于评阅的实际时间。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4、每篇参赛模型应至少被3位专家评阅。每位专家应独立评阅分配给自己的参赛模型，不得干扰其他专家的评阅工作。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5、当各位专家对同一个参赛模型的评阅结果分歧较大时，专家组（或小组）应组织适当形式的讨论和协商，尽量消除评阅失误引起的误判，以及专家之间因个人评分习惯不同引起的系统误差。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6、专家组（或小组）应采取措施对有作弊或雷同嫌疑的参赛模型进行认定。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三、评阅结果的确定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专家组（或小组）评阅的初步结果应提交给竞赛组委会，由竞赛组委会负责评阅结果的公示。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20" w:lineRule="exact"/>
        <w:ind w:left="0" w:firstLine="640"/>
        <w:rPr>
          <w:rStyle w:val="4"/>
          <w:rFonts w:ascii="方正仿宋_GBK" w:hAnsi="仿宋_GB2312" w:eastAsia="方正仿宋_GBK" w:cs="仿宋_GB2312"/>
          <w:sz w:val="32"/>
          <w:szCs w:val="32"/>
        </w:rPr>
      </w:pPr>
      <w:r>
        <w:rPr>
          <w:rStyle w:val="4"/>
          <w:rFonts w:hint="eastAsia" w:ascii="方正仿宋_GBK" w:hAnsi="仿宋_GB2312" w:eastAsia="方正仿宋_GBK" w:cs="仿宋_GB2312"/>
          <w:sz w:val="32"/>
          <w:szCs w:val="32"/>
        </w:rPr>
        <w:t>解释与修改</w:t>
      </w:r>
    </w:p>
    <w:p>
      <w:pPr>
        <w:pStyle w:val="6"/>
        <w:adjustRightInd w:val="0"/>
        <w:snapToGrid w:val="0"/>
        <w:spacing w:line="520" w:lineRule="exact"/>
        <w:ind w:firstLine="640"/>
        <w:rPr>
          <w:rStyle w:val="4"/>
          <w:rFonts w:ascii="方正仿宋_GBK" w:hAnsi="仿宋_GB2312" w:eastAsia="方正仿宋_GBK" w:cs="仿宋_GB2312"/>
          <w:b w:val="0"/>
          <w:sz w:val="32"/>
          <w:szCs w:val="32"/>
        </w:rPr>
      </w:pPr>
      <w:r>
        <w:rPr>
          <w:rStyle w:val="4"/>
          <w:rFonts w:hint="eastAsia" w:ascii="方正仿宋_GBK" w:hAnsi="仿宋_GB2312" w:eastAsia="方正仿宋_GBK" w:cs="仿宋_GB2312"/>
          <w:b w:val="0"/>
          <w:sz w:val="32"/>
          <w:szCs w:val="32"/>
        </w:rPr>
        <w:t>本章程从2017年开始执行，其解释和修改权属于竞赛组委会。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2A76"/>
    <w:multiLevelType w:val="multilevel"/>
    <w:tmpl w:val="2EA22A76"/>
    <w:lvl w:ilvl="0" w:tentative="0">
      <w:start w:val="1"/>
      <w:numFmt w:val="japaneseCounting"/>
      <w:lvlText w:val="第%1条"/>
      <w:lvlJc w:val="left"/>
      <w:pPr>
        <w:ind w:left="9083" w:hanging="720"/>
      </w:pPr>
      <w:rPr>
        <w:rFonts w:hint="default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9203" w:hanging="420"/>
      </w:pPr>
    </w:lvl>
    <w:lvl w:ilvl="2" w:tentative="0">
      <w:start w:val="1"/>
      <w:numFmt w:val="lowerRoman"/>
      <w:lvlText w:val="%3."/>
      <w:lvlJc w:val="right"/>
      <w:pPr>
        <w:ind w:left="9623" w:hanging="420"/>
      </w:pPr>
    </w:lvl>
    <w:lvl w:ilvl="3" w:tentative="0">
      <w:start w:val="1"/>
      <w:numFmt w:val="decimal"/>
      <w:lvlText w:val="%4."/>
      <w:lvlJc w:val="left"/>
      <w:pPr>
        <w:ind w:left="10043" w:hanging="420"/>
      </w:pPr>
    </w:lvl>
    <w:lvl w:ilvl="4" w:tentative="0">
      <w:start w:val="1"/>
      <w:numFmt w:val="lowerLetter"/>
      <w:lvlText w:val="%5)"/>
      <w:lvlJc w:val="left"/>
      <w:pPr>
        <w:ind w:left="10463" w:hanging="420"/>
      </w:pPr>
    </w:lvl>
    <w:lvl w:ilvl="5" w:tentative="0">
      <w:start w:val="1"/>
      <w:numFmt w:val="lowerRoman"/>
      <w:lvlText w:val="%6."/>
      <w:lvlJc w:val="right"/>
      <w:pPr>
        <w:ind w:left="10883" w:hanging="420"/>
      </w:pPr>
    </w:lvl>
    <w:lvl w:ilvl="6" w:tentative="0">
      <w:start w:val="1"/>
      <w:numFmt w:val="decimal"/>
      <w:lvlText w:val="%7."/>
      <w:lvlJc w:val="left"/>
      <w:pPr>
        <w:ind w:left="11303" w:hanging="420"/>
      </w:pPr>
    </w:lvl>
    <w:lvl w:ilvl="7" w:tentative="0">
      <w:start w:val="1"/>
      <w:numFmt w:val="lowerLetter"/>
      <w:lvlText w:val="%8)"/>
      <w:lvlJc w:val="left"/>
      <w:pPr>
        <w:ind w:left="11723" w:hanging="420"/>
      </w:pPr>
    </w:lvl>
    <w:lvl w:ilvl="8" w:tentative="0">
      <w:start w:val="1"/>
      <w:numFmt w:val="lowerRoman"/>
      <w:lvlText w:val="%9."/>
      <w:lvlJc w:val="right"/>
      <w:pPr>
        <w:ind w:left="121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B3A42"/>
    <w:rsid w:val="498B3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2017-05-02T14:48:00Z</dcterms:created>
  <dc:creator>DCL</dc:creator>
  <cp:lastModifiedBy>DCL</cp:lastModifiedBy>
  <dcterms:modified xsi:type="dcterms:W3CDTF">2017-05-02T14:53:00Z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