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topLinePunct/>
        <w:adjustRightInd/>
        <w:snapToGrid w:val="0"/>
        <w:spacing w:line="560" w:lineRule="exact"/>
        <w:ind w:left="0" w:right="0"/>
        <w:jc w:val="left"/>
        <w:textAlignment w:val="auto"/>
        <w:rPr>
          <w:rFonts w:hint="eastAsia" w:eastAsia="仿宋" w:cs="Times New Roman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sz w:val="32"/>
          <w:szCs w:val="32"/>
          <w:lang w:eastAsia="zh-CN" w:bidi="ar-SA"/>
        </w:rPr>
        <w:t>附件</w:t>
      </w:r>
      <w:r>
        <w:rPr>
          <w:rFonts w:hint="eastAsia" w:eastAsia="仿宋" w:cs="Times New Roman"/>
          <w:sz w:val="32"/>
          <w:szCs w:val="32"/>
          <w:lang w:val="en-US" w:eastAsia="zh-CN" w:bidi="ar-SA"/>
        </w:rPr>
        <w:t>1</w:t>
      </w:r>
    </w:p>
    <w:p>
      <w:pPr>
        <w:widowControl w:val="0"/>
        <w:wordWrap/>
        <w:topLinePunct/>
        <w:adjustRightInd/>
        <w:snapToGrid w:val="0"/>
        <w:spacing w:line="560" w:lineRule="exact"/>
        <w:ind w:left="0" w:right="0" w:firstLine="880" w:firstLineChars="200"/>
        <w:jc w:val="center"/>
        <w:textAlignment w:val="auto"/>
        <w:rPr>
          <w:rFonts w:hint="eastAsia" w:ascii="方正小标宋简体" w:hAnsi="Times New Roman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  <w:lang w:bidi="ar-SA"/>
        </w:rPr>
        <w:t>广州市法学会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 w:bidi="ar-SA"/>
        </w:rPr>
        <w:t>2024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bidi="ar-SA"/>
        </w:rPr>
        <w:t>年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eastAsia="zh-CN" w:bidi="ar-SA"/>
        </w:rPr>
        <w:t>法学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bidi="ar-SA"/>
        </w:rPr>
        <w:t>研究课题指南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450"/>
        <w:gridCol w:w="2044"/>
        <w:gridCol w:w="5584"/>
        <w:gridCol w:w="1850"/>
        <w:gridCol w:w="195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eastAsia="黑体" w:cs="黑体"/>
                <w:color w:val="000000"/>
                <w:kern w:val="0"/>
                <w:sz w:val="28"/>
                <w:szCs w:val="32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32"/>
                <w:lang w:bidi="ar-SA"/>
              </w:rPr>
              <w:t>序号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eastAsia="黑体" w:cs="黑体"/>
                <w:color w:val="000000"/>
                <w:kern w:val="0"/>
                <w:sz w:val="28"/>
                <w:szCs w:val="32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32"/>
                <w:lang w:bidi="ar-SA"/>
              </w:rPr>
              <w:t>课题类别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eastAsia="黑体" w:cs="黑体"/>
                <w:color w:val="000000"/>
                <w:kern w:val="0"/>
                <w:sz w:val="28"/>
                <w:szCs w:val="32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32"/>
                <w:lang w:bidi="ar-SA"/>
              </w:rPr>
              <w:t>课题名称</w:t>
            </w:r>
          </w:p>
        </w:tc>
        <w:tc>
          <w:tcPr>
            <w:tcW w:w="55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eastAsia="黑体" w:cs="黑体"/>
                <w:color w:val="000000"/>
                <w:kern w:val="0"/>
                <w:sz w:val="28"/>
                <w:szCs w:val="32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32"/>
                <w:lang w:bidi="ar-SA"/>
              </w:rPr>
              <w:t>研究目的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eastAsia="黑体" w:cs="黑体"/>
                <w:color w:val="000000"/>
                <w:kern w:val="0"/>
                <w:sz w:val="28"/>
                <w:szCs w:val="32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32"/>
                <w:lang w:bidi="ar-SA"/>
              </w:rPr>
              <w:t>研究成果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eastAsia="黑体" w:cs="黑体"/>
                <w:color w:val="000000"/>
                <w:kern w:val="0"/>
                <w:sz w:val="28"/>
                <w:szCs w:val="32"/>
                <w:lang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32"/>
                <w:lang w:bidi="ar-SA"/>
              </w:rPr>
              <w:t>课题经费</w:t>
            </w: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32"/>
                <w:lang w:eastAsia="zh-CN" w:bidi="ar-SA"/>
              </w:rPr>
              <w:t>来源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eastAsia="黑体" w:cs="黑体"/>
                <w:color w:val="000000"/>
                <w:kern w:val="0"/>
                <w:sz w:val="28"/>
                <w:szCs w:val="32"/>
                <w:lang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32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val="en-US" w:eastAsia="zh-CN" w:bidi="ar-SA"/>
              </w:rPr>
              <w:t>1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bidi="ar-SA"/>
              </w:rPr>
              <w:t>重点课题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三权分置机制下的数据产权法治保障路径研究</w:t>
            </w:r>
          </w:p>
          <w:p>
            <w:pPr>
              <w:widowControl/>
              <w:wordWrap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</w:p>
        </w:tc>
        <w:tc>
          <w:tcPr>
            <w:tcW w:w="5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 w:bidi="ar-SA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2024年政府工作报告中提出要“健全数据基础制度，大力推动数据开发开放和流通使用”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 w:bidi="ar-SA"/>
              </w:rPr>
              <w:t>。当前，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要素市场化进程不断推进发展，但同时依然存在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法律法规制度尚不健全，数据产权、流通交易、收益分配等保障制度不完善等问题。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课题拟对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数据资源持有权、数据加工使用权、数据产品经营权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的界定开展研究，并以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三权分置框架厘清数据要素确认问题，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以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法治化路径保障广州打造成为全球数据要素市场核心枢纽、全球</w:t>
            </w:r>
            <w:r>
              <w:rPr>
                <w:rFonts w:hint="eastAsia" w:eastAsia="仿宋_GB2312" w:cs="Times New Roman"/>
                <w:sz w:val="24"/>
                <w:szCs w:val="24"/>
                <w:lang w:eastAsia="zh-CN" w:bidi="ar-SA"/>
              </w:rPr>
              <w:t>先进科技创新策源高地。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课题研究报告</w:t>
            </w:r>
            <w:r>
              <w:rPr>
                <w:rStyle w:val="4"/>
                <w:rFonts w:hint="eastAsia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及</w:t>
            </w:r>
          </w:p>
          <w:p>
            <w:pPr>
              <w:widowControl/>
              <w:spacing w:line="320" w:lineRule="exact"/>
              <w:ind w:firstLine="0"/>
              <w:jc w:val="left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</w:pPr>
            <w:r>
              <w:rPr>
                <w:rStyle w:val="4"/>
                <w:rFonts w:hint="eastAsia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2篇</w:t>
            </w:r>
            <w:r>
              <w:rPr>
                <w:rStyle w:val="4"/>
                <w:rFonts w:hint="eastAsia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要报</w:t>
            </w: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文章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委托单位拨付，</w:t>
            </w:r>
            <w:r>
              <w:rPr>
                <w:rStyle w:val="4"/>
                <w:rFonts w:hint="eastAsia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bidi="ar-SA"/>
              </w:rPr>
              <w:t>0万元</w:t>
            </w: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（含税）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val="en-US" w:eastAsia="zh-CN" w:bidi="ar-SA"/>
              </w:rPr>
              <w:t>2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  <w:r>
              <w:rPr>
                <w:rStyle w:val="4"/>
                <w:rFonts w:hint="eastAsia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一般课题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智能网联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新能源汽车产业境外发展法律风险与防范</w:t>
            </w:r>
          </w:p>
          <w:p>
            <w:pPr>
              <w:widowControl/>
              <w:wordWrap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-SA"/>
              </w:rPr>
            </w:pPr>
          </w:p>
        </w:tc>
        <w:tc>
          <w:tcPr>
            <w:tcW w:w="5584" w:type="dxa"/>
            <w:noWrap w:val="0"/>
            <w:vAlign w:val="top"/>
          </w:tcPr>
          <w:p>
            <w:pPr>
              <w:widowControl/>
              <w:wordWrap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智能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网联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新能源汽车是广州的新兴三大支柱产业之一，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其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产业链不仅覆盖汽车制造业（制造与零配件）本身，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还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涉及电池（稀有矿产资源、科技研发）、智能生态（智能驾驶利用大模型数据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驾驶人员的生态用户数据）、储能（新能源）等多类别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，对经济、就业等具有强大的拉动力。课题拟对新能源汽车产业境外发展的各类法律风险开展研究，并提出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防范与应对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策略，助力</w:t>
            </w:r>
            <w:r>
              <w:rPr>
                <w:rFonts w:hint="eastAsia" w:eastAsia="仿宋_GB2312" w:cs="Times New Roman"/>
                <w:sz w:val="24"/>
                <w:lang w:bidi="ar-SA"/>
              </w:rPr>
              <w:t>巩固扩大</w:t>
            </w:r>
            <w:r>
              <w:rPr>
                <w:rFonts w:hint="eastAsia" w:eastAsia="仿宋_GB2312" w:cs="Times New Roman"/>
                <w:sz w:val="24"/>
                <w:lang w:eastAsia="zh-CN" w:bidi="ar-SA"/>
              </w:rPr>
              <w:t>广州市</w:t>
            </w:r>
            <w:r>
              <w:rPr>
                <w:rFonts w:hint="eastAsia" w:eastAsia="仿宋_GB2312" w:cs="Times New Roman"/>
                <w:sz w:val="24"/>
                <w:lang w:bidi="ar-SA"/>
              </w:rPr>
              <w:t>智能网联新能源汽车等产业领先优势</w:t>
            </w:r>
            <w:r>
              <w:rPr>
                <w:rFonts w:hint="eastAsia" w:eastAsia="仿宋_GB2312" w:cs="Times New Roman"/>
                <w:sz w:val="24"/>
                <w:lang w:eastAsia="zh-CN" w:bidi="ar-SA"/>
              </w:rPr>
              <w:t>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bidi="ar-SA"/>
              </w:rPr>
            </w:pPr>
          </w:p>
          <w:p>
            <w:pPr>
              <w:widowControl/>
              <w:spacing w:line="320" w:lineRule="exact"/>
              <w:ind w:firstLine="0"/>
              <w:jc w:val="left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课题研究报告</w:t>
            </w:r>
            <w:r>
              <w:rPr>
                <w:rStyle w:val="4"/>
                <w:rFonts w:hint="eastAsia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及</w:t>
            </w:r>
          </w:p>
          <w:p>
            <w:pPr>
              <w:widowControl/>
              <w:spacing w:line="320" w:lineRule="exact"/>
              <w:ind w:firstLine="0"/>
              <w:jc w:val="left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Style w:val="4"/>
                <w:rFonts w:hint="eastAsia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1篇</w:t>
            </w:r>
            <w:r>
              <w:rPr>
                <w:rStyle w:val="4"/>
                <w:rFonts w:hint="eastAsia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要报</w:t>
            </w: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文章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委托单位拨付，</w:t>
            </w:r>
            <w:r>
              <w:rPr>
                <w:rStyle w:val="4"/>
                <w:rFonts w:hint="eastAsia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5</w:t>
            </w: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bidi="ar-SA"/>
              </w:rPr>
              <w:t>万元</w:t>
            </w: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（含税）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left="0" w:firstLine="0" w:firstLineChars="0"/>
              <w:jc w:val="center"/>
              <w:rPr>
                <w:rStyle w:val="4"/>
                <w:rFonts w:hint="default" w:ascii="Times New Roman" w:hAnsi="Times New Roman" w:eastAsia="仿宋_GB2312" w:cs="Times New Roman"/>
                <w:b w:val="0"/>
                <w:szCs w:val="24"/>
                <w:shd w:val="clear" w:color="auto" w:fill="FFFFFF"/>
                <w:lang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szCs w:val="24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hd w:val="clear" w:color="auto" w:fill="FFFFFF"/>
                <w:lang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一般课题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both"/>
              <w:textAlignment w:val="auto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粤港澳大湾区企业合规制度比较研究</w:t>
            </w:r>
          </w:p>
        </w:tc>
        <w:tc>
          <w:tcPr>
            <w:tcW w:w="5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广东作为全国首批涉案企业合规改革试点地区，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企业合规实践走在全国前列，有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许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多经验需要总结，同时也面临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许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多的问题需要处理。香港、澳门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两地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企业遵守不同法域下的不同治理模式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。课题拟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对三地企业合规问题进行比较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研究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对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制定大湾区企业共同遵守合规制度的可能性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开展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探讨，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以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利于三地在实施企业合规措施时相互借鉴，进一步完善企业合规制度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推进粤港澳大湾区三地企业的交流和合作，保障大湾区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企业平稳发展。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课题研究报告</w:t>
            </w:r>
            <w:r>
              <w:rPr>
                <w:rStyle w:val="4"/>
                <w:rFonts w:hint="eastAsia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及</w:t>
            </w:r>
          </w:p>
          <w:p>
            <w:pPr>
              <w:widowControl/>
              <w:spacing w:line="320" w:lineRule="exact"/>
              <w:ind w:firstLine="0"/>
              <w:jc w:val="left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Style w:val="4"/>
                <w:rFonts w:hint="eastAsia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1篇</w:t>
            </w:r>
            <w:r>
              <w:rPr>
                <w:rStyle w:val="4"/>
                <w:rFonts w:hint="eastAsia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要报</w:t>
            </w: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文章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委托单位拨付，</w:t>
            </w:r>
            <w:r>
              <w:rPr>
                <w:rStyle w:val="4"/>
                <w:rFonts w:hint="eastAsia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5</w:t>
            </w: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bidi="ar-SA"/>
              </w:rPr>
              <w:t>万元</w:t>
            </w: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（含税）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pStyle w:val="5"/>
              <w:widowControl/>
              <w:spacing w:line="300" w:lineRule="exact"/>
              <w:ind w:left="0" w:firstLine="0" w:firstLineChars="0"/>
              <w:jc w:val="center"/>
              <w:rPr>
                <w:rStyle w:val="4"/>
                <w:rFonts w:hint="default" w:ascii="Times New Roman" w:hAnsi="Times New Roman" w:eastAsia="仿宋_GB2312" w:cs="Times New Roman"/>
                <w:b w:val="0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Style w:val="4"/>
                <w:rFonts w:hint="eastAsia" w:eastAsia="仿宋_GB2312" w:cs="Times New Roman"/>
                <w:b w:val="0"/>
                <w:szCs w:val="24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Style w:val="4"/>
                <w:rFonts w:hint="eastAsia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</w:pPr>
            <w:r>
              <w:rPr>
                <w:rStyle w:val="4"/>
                <w:rFonts w:hint="eastAsia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青年调研</w:t>
            </w:r>
          </w:p>
          <w:p>
            <w:pPr>
              <w:jc w:val="center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</w:pPr>
            <w:r>
              <w:rPr>
                <w:rStyle w:val="4"/>
                <w:rFonts w:hint="eastAsia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项目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预防未成年人涉黑涉恶犯罪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研究</w:t>
            </w:r>
          </w:p>
          <w:p>
            <w:pPr>
              <w:widowControl/>
              <w:wordWrap/>
              <w:adjustRightInd/>
              <w:snapToGrid/>
              <w:spacing w:line="320" w:lineRule="exact"/>
              <w:jc w:val="both"/>
              <w:textAlignment w:val="auto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80" w:firstLineChars="200"/>
              <w:jc w:val="both"/>
              <w:textAlignment w:val="auto"/>
              <w:outlineLvl w:val="9"/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黑恶势力犯罪分子利用未成年人自我保护能力弱、辨别能力低、易于控制等特点，将未成年人作为黑恶组织发展的“生力军”，有意拉拢、引诱、欺骗未成年人加入黑恶势力，实施涉黑恶违法犯罪活动，严重败坏社会风气和社会价值观，严重侵害了未成年人的身心健康，危害社会和谐稳定，亟需引起重视。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课题拟开展预防未成年人涉黑涉恶犯罪研究，为保护未成年人健康成长、落实常态化开展扫黑除恶斗争工作提供助力。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Style w:val="4"/>
                <w:rFonts w:hint="eastAsia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课题研究报告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委托单位拨付，</w:t>
            </w:r>
            <w:r>
              <w:rPr>
                <w:rStyle w:val="4"/>
                <w:rFonts w:hint="eastAsia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bidi="ar-SA"/>
              </w:rPr>
              <w:t>万元</w:t>
            </w: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（含税）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wordWrap/>
              <w:topLinePunct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  <w:t>市委政法委扫黑除恶综合处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共同参与项目研究</w:t>
            </w:r>
          </w:p>
          <w:p>
            <w:pPr>
              <w:widowControl/>
              <w:spacing w:line="320" w:lineRule="exact"/>
              <w:ind w:firstLine="0"/>
              <w:jc w:val="left"/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977240-D86B-4D98-B23A-8C305EFFD8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04C860A-A001-430F-8E85-AFFBBD824A5A}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6AEA4D-5BA6-43E2-9089-9994F6F42E0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703146C-2425-48AB-9F78-C5494A845E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DZlNzQwZGUxZTQ3YWFlNjI4ZTdmZGIzYzM4YWUifQ=="/>
  </w:docVars>
  <w:rsids>
    <w:rsidRoot w:val="5D0D4773"/>
    <w:rsid w:val="0E1A5943"/>
    <w:rsid w:val="249525E9"/>
    <w:rsid w:val="259A0DE6"/>
    <w:rsid w:val="26272E34"/>
    <w:rsid w:val="3B0C09A1"/>
    <w:rsid w:val="50D37B7E"/>
    <w:rsid w:val="52EF3694"/>
    <w:rsid w:val="52F24EB6"/>
    <w:rsid w:val="566F4560"/>
    <w:rsid w:val="5D0D4773"/>
    <w:rsid w:val="658630E2"/>
    <w:rsid w:val="72FB5C47"/>
    <w:rsid w:val="74CC16BC"/>
    <w:rsid w:val="7582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uiPriority w:val="0"/>
    <w:rPr>
      <w:b/>
    </w:rPr>
  </w:style>
  <w:style w:type="paragraph" w:customStyle="1" w:styleId="5">
    <w:name w:val="List Paragraph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2024-04-02T06:43:00Z</dcterms:created>
  <dc:creator>悦昙幻</dc:creator>
  <cp:lastModifiedBy>悦昙幻</cp:lastModifiedBy>
  <dcterms:modified xsi:type="dcterms:W3CDTF">2024-04-02T06:44:16Z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D121972A64C04C3EB1918D55B3DBA727_11</vt:lpwstr>
  </property>
</Properties>
</file>