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C14141">
      <w:pPr>
        <w:ind w:firstLine="2530" w:firstLineChars="700"/>
        <w:jc w:val="both"/>
        <w:rPr>
          <w:rFonts w:hint="eastAsia" w:ascii="创艺简标宋" w:eastAsia="创艺简标宋" w:hAnsiTheme="majorEastAsia"/>
          <w:sz w:val="36"/>
          <w:szCs w:val="32"/>
        </w:rPr>
      </w:pPr>
      <w:r>
        <w:rPr>
          <w:rFonts w:hint="eastAsia" w:asciiTheme="minorEastAsia" w:hAnsiTheme="minorEastAsia" w:eastAsiaTheme="minorEastAsia"/>
          <w:b/>
          <w:sz w:val="36"/>
          <w:szCs w:val="36"/>
          <w:lang w:val="en-US" w:eastAsia="zh-CN"/>
        </w:rPr>
        <w:t xml:space="preserve"> 2024</w:t>
      </w:r>
      <w:r>
        <w:rPr>
          <w:rFonts w:hint="eastAsia" w:asciiTheme="minorEastAsia" w:hAnsiTheme="minorEastAsia" w:eastAsiaTheme="minorEastAsia"/>
          <w:b/>
          <w:sz w:val="36"/>
          <w:szCs w:val="36"/>
        </w:rPr>
        <w:t>年华南理工大学校级教</w:t>
      </w:r>
      <w:r>
        <w:rPr>
          <w:rFonts w:hint="eastAsia" w:asciiTheme="minorEastAsia" w:hAnsiTheme="minorEastAsia" w:eastAsiaTheme="minorEastAsia"/>
          <w:b/>
          <w:sz w:val="36"/>
          <w:szCs w:val="36"/>
          <w:lang w:val="en-US" w:eastAsia="zh-CN"/>
        </w:rPr>
        <w:t>研教</w:t>
      </w:r>
      <w:r>
        <w:rPr>
          <w:rFonts w:hint="eastAsia" w:asciiTheme="minorEastAsia" w:hAnsiTheme="minorEastAsia" w:eastAsiaTheme="minorEastAsia"/>
          <w:b/>
          <w:sz w:val="36"/>
          <w:szCs w:val="36"/>
        </w:rPr>
        <w:t>改</w:t>
      </w:r>
      <w:r>
        <w:rPr>
          <w:rFonts w:hint="eastAsia" w:asciiTheme="minorEastAsia" w:hAnsiTheme="minorEastAsia" w:eastAsiaTheme="minorEastAsia"/>
          <w:b/>
          <w:sz w:val="36"/>
          <w:szCs w:val="36"/>
          <w:lang w:eastAsia="zh-CN"/>
        </w:rPr>
        <w:t>项目</w:t>
      </w:r>
      <w:r>
        <w:rPr>
          <w:rFonts w:hint="eastAsia" w:asciiTheme="minorEastAsia" w:hAnsiTheme="minorEastAsia" w:eastAsiaTheme="minorEastAsia"/>
          <w:b/>
          <w:sz w:val="36"/>
          <w:szCs w:val="36"/>
          <w:lang w:val="en-US" w:eastAsia="zh-CN"/>
        </w:rPr>
        <w:t>验收结果名单</w:t>
      </w:r>
    </w:p>
    <w:p w14:paraId="2AA1C8B4">
      <w:pPr>
        <w:jc w:val="both"/>
        <w:rPr>
          <w:rFonts w:hint="eastAsia" w:ascii="仿宋" w:hAnsi="仿宋" w:eastAsia="仿宋" w:cs="仿宋"/>
          <w:b/>
          <w:sz w:val="32"/>
          <w:szCs w:val="32"/>
        </w:rPr>
      </w:pPr>
    </w:p>
    <w:p w14:paraId="3DA541CE">
      <w:pPr>
        <w:jc w:val="both"/>
        <w:rPr>
          <w:rFonts w:hint="eastAsia" w:ascii="仿宋" w:hAnsi="仿宋" w:eastAsia="仿宋" w:cs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一、</w:t>
      </w: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2022年立项的项目</w:t>
      </w:r>
    </w:p>
    <w:p w14:paraId="014BDE3B">
      <w:pPr>
        <w:pStyle w:val="12"/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000000" w:themeColor="text1"/>
          <w:sz w:val="28"/>
          <w:szCs w:val="28"/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/>
        </w:rPr>
        <w:t>一）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</w:rPr>
        <w:t>面上项目</w:t>
      </w:r>
    </w:p>
    <w:tbl>
      <w:tblPr>
        <w:tblStyle w:val="6"/>
        <w:tblW w:w="5205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0"/>
        <w:gridCol w:w="2540"/>
        <w:gridCol w:w="7259"/>
        <w:gridCol w:w="1065"/>
        <w:gridCol w:w="1365"/>
        <w:gridCol w:w="1453"/>
      </w:tblGrid>
      <w:tr w14:paraId="316966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tblHeader/>
          <w:jc w:val="center"/>
        </w:trPr>
        <w:tc>
          <w:tcPr>
            <w:tcW w:w="1120" w:type="dxa"/>
            <w:shd w:val="clear" w:color="auto" w:fill="auto"/>
            <w:vAlign w:val="center"/>
          </w:tcPr>
          <w:p w14:paraId="6611161A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序号</w:t>
            </w:r>
          </w:p>
        </w:tc>
        <w:tc>
          <w:tcPr>
            <w:tcW w:w="2540" w:type="dxa"/>
            <w:shd w:val="clear" w:color="auto" w:fill="auto"/>
            <w:vAlign w:val="center"/>
          </w:tcPr>
          <w:p w14:paraId="69607E25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名称</w:t>
            </w:r>
          </w:p>
        </w:tc>
        <w:tc>
          <w:tcPr>
            <w:tcW w:w="7259" w:type="dxa"/>
            <w:shd w:val="clear" w:color="auto" w:fill="auto"/>
            <w:vAlign w:val="center"/>
          </w:tcPr>
          <w:p w14:paraId="12B07317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项目名称</w:t>
            </w:r>
          </w:p>
        </w:tc>
        <w:tc>
          <w:tcPr>
            <w:tcW w:w="1065" w:type="dxa"/>
            <w:shd w:val="clear" w:color="auto" w:fill="auto"/>
            <w:vAlign w:val="center"/>
          </w:tcPr>
          <w:p w14:paraId="5388E1AA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主持人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1804484F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项目类型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04CC4CB5">
            <w:pPr>
              <w:widowControl/>
              <w:jc w:val="center"/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  <w:t>验收结论</w:t>
            </w:r>
          </w:p>
        </w:tc>
      </w:tr>
      <w:tr w14:paraId="70EDE3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1D30288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6B10FD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4591B88B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智能车辆工程新工科专业课程体系改革</w:t>
            </w:r>
          </w:p>
        </w:tc>
        <w:tc>
          <w:tcPr>
            <w:tcW w:w="1065" w:type="dxa"/>
            <w:vAlign w:val="center"/>
          </w:tcPr>
          <w:p w14:paraId="3E60B6B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上官文斌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B44C7ED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094A52B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DDCEB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0F6957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16396B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2E20292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基于智能设计与制造的机械设计基础课程内容与体系改革</w:t>
            </w:r>
          </w:p>
        </w:tc>
        <w:tc>
          <w:tcPr>
            <w:tcW w:w="1065" w:type="dxa"/>
            <w:vAlign w:val="center"/>
          </w:tcPr>
          <w:p w14:paraId="39AB714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翟敬梅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3AA4D99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D6EFB03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EA156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179A6C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EF77C5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设计学院</w:t>
            </w:r>
          </w:p>
        </w:tc>
        <w:tc>
          <w:tcPr>
            <w:tcW w:w="7259" w:type="dxa"/>
            <w:vAlign w:val="center"/>
          </w:tcPr>
          <w:p w14:paraId="47C0F6F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设计助力乡村振兴：艺术设计专业实践教学改革</w:t>
            </w:r>
          </w:p>
        </w:tc>
        <w:tc>
          <w:tcPr>
            <w:tcW w:w="1065" w:type="dxa"/>
            <w:vAlign w:val="center"/>
          </w:tcPr>
          <w:p w14:paraId="2295984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静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5EDF8A8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2E5421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03C9C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AB080C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F9F8A7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59" w:type="dxa"/>
            <w:vAlign w:val="center"/>
          </w:tcPr>
          <w:p w14:paraId="1DDCAA0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有机化学前沿进展融入课堂改革与实践</w:t>
            </w:r>
          </w:p>
        </w:tc>
        <w:tc>
          <w:tcPr>
            <w:tcW w:w="1065" w:type="dxa"/>
            <w:vAlign w:val="center"/>
          </w:tcPr>
          <w:p w14:paraId="6EAC372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张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珉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2543CF9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6183C2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17361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65EDA06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BA70E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环境与能源学院</w:t>
            </w:r>
          </w:p>
        </w:tc>
        <w:tc>
          <w:tcPr>
            <w:tcW w:w="7259" w:type="dxa"/>
            <w:vAlign w:val="center"/>
          </w:tcPr>
          <w:p w14:paraId="2109224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“双碳”背景下的《大气污染控制工程》模块化教学改革与实践</w:t>
            </w:r>
          </w:p>
        </w:tc>
        <w:tc>
          <w:tcPr>
            <w:tcW w:w="1065" w:type="dxa"/>
            <w:vAlign w:val="center"/>
          </w:tcPr>
          <w:p w14:paraId="2BB4A91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陈培榕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72FE19B6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75A153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2FBA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B77EBEF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BB3A5C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软件学院</w:t>
            </w:r>
          </w:p>
        </w:tc>
        <w:tc>
          <w:tcPr>
            <w:tcW w:w="7259" w:type="dxa"/>
            <w:vAlign w:val="center"/>
          </w:tcPr>
          <w:p w14:paraId="698D0C6B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《软件体系结构》课程教学模式研究与改革</w:t>
            </w:r>
          </w:p>
        </w:tc>
        <w:tc>
          <w:tcPr>
            <w:tcW w:w="1065" w:type="dxa"/>
            <w:vAlign w:val="center"/>
          </w:tcPr>
          <w:p w14:paraId="7B59106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林连南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A64B9B8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40F67D9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89216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212196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87D9D9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前沿软物质学院</w:t>
            </w:r>
          </w:p>
        </w:tc>
        <w:tc>
          <w:tcPr>
            <w:tcW w:w="7259" w:type="dxa"/>
            <w:vAlign w:val="center"/>
          </w:tcPr>
          <w:p w14:paraId="1588EA3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新工科背景下《战略前沿材料与智造（二）》课程的教学改革</w:t>
            </w:r>
          </w:p>
        </w:tc>
        <w:tc>
          <w:tcPr>
            <w:tcW w:w="1065" w:type="dxa"/>
            <w:vAlign w:val="center"/>
          </w:tcPr>
          <w:p w14:paraId="0F26E9F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王林格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7E89A63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8A059E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79D5E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667745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5AD95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电子商务系</w:t>
            </w:r>
          </w:p>
        </w:tc>
        <w:tc>
          <w:tcPr>
            <w:tcW w:w="7259" w:type="dxa"/>
            <w:vAlign w:val="center"/>
          </w:tcPr>
          <w:p w14:paraId="01DA19B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基于OBE理念的专业核心课程隐性分层教学改革—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-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以《配送中心设计与管理》为例</w:t>
            </w:r>
          </w:p>
        </w:tc>
        <w:tc>
          <w:tcPr>
            <w:tcW w:w="1065" w:type="dxa"/>
            <w:vAlign w:val="center"/>
          </w:tcPr>
          <w:p w14:paraId="12487D7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万艳春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EC02B7C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91FFBD8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5B030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D279C38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12108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新闻与传播学院</w:t>
            </w:r>
          </w:p>
        </w:tc>
        <w:tc>
          <w:tcPr>
            <w:tcW w:w="7259" w:type="dxa"/>
            <w:vAlign w:val="center"/>
          </w:tcPr>
          <w:p w14:paraId="467F855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基于OBE理念《广告策划与创新》的教学改革</w:t>
            </w:r>
          </w:p>
        </w:tc>
        <w:tc>
          <w:tcPr>
            <w:tcW w:w="1065" w:type="dxa"/>
            <w:vAlign w:val="center"/>
          </w:tcPr>
          <w:p w14:paraId="1EA9202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佘世红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A79549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FFB4BB1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4AD51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03840C4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10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727B09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教务处</w:t>
            </w:r>
          </w:p>
        </w:tc>
        <w:tc>
          <w:tcPr>
            <w:tcW w:w="7259" w:type="dxa"/>
            <w:vAlign w:val="center"/>
          </w:tcPr>
          <w:p w14:paraId="304DE8D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新时代一流高校内部教学质量保障体系研究与实践</w:t>
            </w:r>
          </w:p>
        </w:tc>
        <w:tc>
          <w:tcPr>
            <w:tcW w:w="1065" w:type="dxa"/>
            <w:vAlign w:val="center"/>
          </w:tcPr>
          <w:p w14:paraId="43B3DB0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陈小平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884C1F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4431CC3"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  <w:t>申请延期</w:t>
            </w:r>
          </w:p>
        </w:tc>
      </w:tr>
      <w:tr w14:paraId="3155C7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74B7A18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BAA04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7E85890F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基于“五个融合”的机械设计课程实践教学改革</w:t>
            </w:r>
          </w:p>
        </w:tc>
        <w:tc>
          <w:tcPr>
            <w:tcW w:w="1065" w:type="dxa"/>
            <w:vAlign w:val="center"/>
          </w:tcPr>
          <w:p w14:paraId="0288357A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李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旻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456CE3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9ADA6DD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B5BA1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BBA375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9690EF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27E88C0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融合PIC与51系列的单片机原理及应用教学实践</w:t>
            </w:r>
          </w:p>
        </w:tc>
        <w:tc>
          <w:tcPr>
            <w:tcW w:w="1065" w:type="dxa"/>
            <w:vAlign w:val="center"/>
          </w:tcPr>
          <w:p w14:paraId="639883E9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洪晓斌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11D1F3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4BFB44D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08037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19468A6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9304C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41DA5F5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“测试技术与信号处理”课程虚拟实验设计与实现</w:t>
            </w:r>
          </w:p>
        </w:tc>
        <w:tc>
          <w:tcPr>
            <w:tcW w:w="1065" w:type="dxa"/>
            <w:vAlign w:val="center"/>
          </w:tcPr>
          <w:p w14:paraId="41E6BA3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张春华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30CB799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C528579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CA310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8207D7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684355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59" w:type="dxa"/>
            <w:vAlign w:val="center"/>
          </w:tcPr>
          <w:p w14:paraId="04FC723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《测试技术与信号处理》课程结构化互动式教学模式改革与探索</w:t>
            </w:r>
          </w:p>
        </w:tc>
        <w:tc>
          <w:tcPr>
            <w:tcW w:w="1065" w:type="dxa"/>
            <w:vAlign w:val="center"/>
          </w:tcPr>
          <w:p w14:paraId="1927270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王世勇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F715A86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B08A5D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B4E1F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A4E0C7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BDDA3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建筑学院</w:t>
            </w:r>
          </w:p>
        </w:tc>
        <w:tc>
          <w:tcPr>
            <w:tcW w:w="7259" w:type="dxa"/>
            <w:vAlign w:val="center"/>
          </w:tcPr>
          <w:p w14:paraId="4CB5E98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校际跨专业联合毕业设计教学创新模式研究</w:t>
            </w:r>
          </w:p>
        </w:tc>
        <w:tc>
          <w:tcPr>
            <w:tcW w:w="1065" w:type="dxa"/>
            <w:vAlign w:val="center"/>
          </w:tcPr>
          <w:p w14:paraId="08C052C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翁奕城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6667D5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204F6A3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3A161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C8C9E7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3C848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59" w:type="dxa"/>
            <w:vAlign w:val="center"/>
          </w:tcPr>
          <w:p w14:paraId="497A3CAD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“新工科”背景下的理工科人才培养模式改革探索</w:t>
            </w:r>
          </w:p>
        </w:tc>
        <w:tc>
          <w:tcPr>
            <w:tcW w:w="1065" w:type="dxa"/>
            <w:vAlign w:val="center"/>
          </w:tcPr>
          <w:p w14:paraId="1E12017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魏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鹏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2DE113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2EBA5CF4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0AB70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9F3A039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4399E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59" w:type="dxa"/>
            <w:vAlign w:val="center"/>
          </w:tcPr>
          <w:p w14:paraId="7E59D95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校企深度合作下工程管理专业“数字+”实践教学创新研究</w:t>
            </w:r>
          </w:p>
        </w:tc>
        <w:tc>
          <w:tcPr>
            <w:tcW w:w="1065" w:type="dxa"/>
            <w:vAlign w:val="center"/>
          </w:tcPr>
          <w:p w14:paraId="222E598A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谢琳琳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F8C164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10BFFB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80FC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96701E9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CC71B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设计学院</w:t>
            </w:r>
          </w:p>
        </w:tc>
        <w:tc>
          <w:tcPr>
            <w:tcW w:w="7259" w:type="dxa"/>
            <w:vAlign w:val="center"/>
          </w:tcPr>
          <w:p w14:paraId="39DB03E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智能技术支持下的专业基础课程探究教学模式构建研究</w:t>
            </w:r>
          </w:p>
        </w:tc>
        <w:tc>
          <w:tcPr>
            <w:tcW w:w="1065" w:type="dxa"/>
            <w:vAlign w:val="center"/>
          </w:tcPr>
          <w:p w14:paraId="4683127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陈亚利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0AC7DA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F89A18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C1521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3B7C3F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19</w:t>
            </w:r>
          </w:p>
        </w:tc>
        <w:tc>
          <w:tcPr>
            <w:tcW w:w="2540" w:type="dxa"/>
            <w:noWrap/>
            <w:vAlign w:val="center"/>
          </w:tcPr>
          <w:p w14:paraId="4E72A13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材料科学与工程学院</w:t>
            </w:r>
          </w:p>
        </w:tc>
        <w:tc>
          <w:tcPr>
            <w:tcW w:w="7259" w:type="dxa"/>
            <w:vAlign w:val="center"/>
          </w:tcPr>
          <w:p w14:paraId="0388C51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材料类物理化学多层次作业系统建设</w:t>
            </w:r>
          </w:p>
        </w:tc>
        <w:tc>
          <w:tcPr>
            <w:tcW w:w="1065" w:type="dxa"/>
            <w:vAlign w:val="center"/>
          </w:tcPr>
          <w:p w14:paraId="0AE2165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刘琳琳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83F3B3E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A348C36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54CD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952097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20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8438D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材料科学与工程学院</w:t>
            </w:r>
          </w:p>
        </w:tc>
        <w:tc>
          <w:tcPr>
            <w:tcW w:w="7259" w:type="dxa"/>
            <w:vAlign w:val="center"/>
          </w:tcPr>
          <w:p w14:paraId="20CCBD7D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金相实验技术关键问题的机理研究及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其在实验教学中的应用</w:t>
            </w:r>
          </w:p>
        </w:tc>
        <w:tc>
          <w:tcPr>
            <w:tcW w:w="1065" w:type="dxa"/>
            <w:vAlign w:val="center"/>
          </w:tcPr>
          <w:p w14:paraId="249AE4C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彭成红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691990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B59ABB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A06EF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A61139D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C05F3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59" w:type="dxa"/>
            <w:vAlign w:val="center"/>
          </w:tcPr>
          <w:p w14:paraId="704DF40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融合课程思政的《物理化学》教学探索</w:t>
            </w:r>
          </w:p>
        </w:tc>
        <w:tc>
          <w:tcPr>
            <w:tcW w:w="1065" w:type="dxa"/>
            <w:vAlign w:val="center"/>
          </w:tcPr>
          <w:p w14:paraId="1852BCA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崔志明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19DBAE6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500B629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8BB7F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AD24A8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586A0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59" w:type="dxa"/>
            <w:vAlign w:val="center"/>
          </w:tcPr>
          <w:p w14:paraId="161F614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基于化学拔尖创新人才培养的《无机化学》课程群质量提升</w:t>
            </w:r>
          </w:p>
        </w:tc>
        <w:tc>
          <w:tcPr>
            <w:tcW w:w="1065" w:type="dxa"/>
            <w:vAlign w:val="center"/>
          </w:tcPr>
          <w:p w14:paraId="3222E1D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邓远富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E0CF60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81FEBD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5BED4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B0CD3D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57A398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59" w:type="dxa"/>
            <w:vAlign w:val="center"/>
          </w:tcPr>
          <w:p w14:paraId="60D7F04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双创教育与化工专业课程深度融合的改革与实践</w:t>
            </w:r>
          </w:p>
        </w:tc>
        <w:tc>
          <w:tcPr>
            <w:tcW w:w="1065" w:type="dxa"/>
            <w:vAlign w:val="center"/>
          </w:tcPr>
          <w:p w14:paraId="034F85F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李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琼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75FFD11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1D280A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8C3AB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7D7C41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7E101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轻工科学与工程学院</w:t>
            </w:r>
          </w:p>
        </w:tc>
        <w:tc>
          <w:tcPr>
            <w:tcW w:w="7259" w:type="dxa"/>
            <w:vAlign w:val="center"/>
          </w:tcPr>
          <w:p w14:paraId="53E8F1F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建设一流课程提升学生学习质量—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-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以《多糖化学》为例</w:t>
            </w:r>
          </w:p>
        </w:tc>
        <w:tc>
          <w:tcPr>
            <w:tcW w:w="1065" w:type="dxa"/>
            <w:vAlign w:val="center"/>
          </w:tcPr>
          <w:p w14:paraId="7D6D1DD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王小英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3B2103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5F2C734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DBF7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D84C5BA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CD140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计算机科学与工程学院</w:t>
            </w:r>
          </w:p>
        </w:tc>
        <w:tc>
          <w:tcPr>
            <w:tcW w:w="7259" w:type="dxa"/>
            <w:vAlign w:val="center"/>
          </w:tcPr>
          <w:p w14:paraId="618D6759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基于“以生为本”的新型听评课制度探索与实践</w:t>
            </w:r>
          </w:p>
        </w:tc>
        <w:tc>
          <w:tcPr>
            <w:tcW w:w="1065" w:type="dxa"/>
            <w:vAlign w:val="center"/>
          </w:tcPr>
          <w:p w14:paraId="7A8AF8A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周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颖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78B90949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5EC5CCA4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  <w:t>申请延期</w:t>
            </w:r>
          </w:p>
        </w:tc>
      </w:tr>
      <w:tr w14:paraId="4EF1E2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0FFEAED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B9B7E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软件学院</w:t>
            </w:r>
          </w:p>
        </w:tc>
        <w:tc>
          <w:tcPr>
            <w:tcW w:w="7259" w:type="dxa"/>
            <w:vAlign w:val="center"/>
          </w:tcPr>
          <w:p w14:paraId="2B4A919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计算机与软件工程概论课程考核机制的改革</w:t>
            </w:r>
          </w:p>
        </w:tc>
        <w:tc>
          <w:tcPr>
            <w:tcW w:w="1065" w:type="dxa"/>
            <w:vAlign w:val="center"/>
          </w:tcPr>
          <w:p w14:paraId="58A85C8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林育蓓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C6C3366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508EA02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C3461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6126FF1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AA4A54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微电子学院</w:t>
            </w:r>
          </w:p>
        </w:tc>
        <w:tc>
          <w:tcPr>
            <w:tcW w:w="7259" w:type="dxa"/>
            <w:vAlign w:val="center"/>
          </w:tcPr>
          <w:p w14:paraId="7E95FCA0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面向新工科的集成电路测试实验课程建设</w:t>
            </w:r>
          </w:p>
        </w:tc>
        <w:tc>
          <w:tcPr>
            <w:tcW w:w="1065" w:type="dxa"/>
            <w:vAlign w:val="center"/>
          </w:tcPr>
          <w:p w14:paraId="0FF85C77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梁志明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46B1F5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47F412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87355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6641FF9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28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31750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前沿软物质学院</w:t>
            </w:r>
          </w:p>
        </w:tc>
        <w:tc>
          <w:tcPr>
            <w:tcW w:w="7259" w:type="dxa"/>
            <w:vAlign w:val="center"/>
          </w:tcPr>
          <w:p w14:paraId="28A05132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双创元素深度融入专业课程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的教学模式改革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研究</w:t>
            </w:r>
          </w:p>
        </w:tc>
        <w:tc>
          <w:tcPr>
            <w:tcW w:w="1065" w:type="dxa"/>
            <w:vAlign w:val="center"/>
          </w:tcPr>
          <w:p w14:paraId="526D33F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坤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7ACF8A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02E79A2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D7A43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F824D43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F1B10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物理与光电学院</w:t>
            </w:r>
          </w:p>
        </w:tc>
        <w:tc>
          <w:tcPr>
            <w:tcW w:w="7259" w:type="dxa"/>
            <w:vAlign w:val="center"/>
          </w:tcPr>
          <w:p w14:paraId="5CEFE7B2">
            <w:pPr>
              <w:widowControl/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工程教育专业认证背景下电子工艺实习课程提升学习质量研究</w:t>
            </w:r>
          </w:p>
        </w:tc>
        <w:tc>
          <w:tcPr>
            <w:tcW w:w="1065" w:type="dxa"/>
            <w:vAlign w:val="center"/>
          </w:tcPr>
          <w:p w14:paraId="2BBE6212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廖继海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141DDE1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422AB3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ADF62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2BBBE2D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0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7578D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物理与光电学院</w:t>
            </w:r>
          </w:p>
        </w:tc>
        <w:tc>
          <w:tcPr>
            <w:tcW w:w="7259" w:type="dxa"/>
            <w:vAlign w:val="center"/>
          </w:tcPr>
          <w:p w14:paraId="62A8213D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基于量子力学课程提升学生“三力”的研究</w:t>
            </w:r>
          </w:p>
        </w:tc>
        <w:tc>
          <w:tcPr>
            <w:tcW w:w="1065" w:type="dxa"/>
            <w:vAlign w:val="center"/>
          </w:tcPr>
          <w:p w14:paraId="7AE2FC7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尹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淼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881D12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BECE17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6B5BE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01BA25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06C7D4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电力学院</w:t>
            </w:r>
          </w:p>
        </w:tc>
        <w:tc>
          <w:tcPr>
            <w:tcW w:w="7259" w:type="dxa"/>
            <w:vAlign w:val="center"/>
          </w:tcPr>
          <w:p w14:paraId="3AF14A6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面向电力新技术的高电压实验教学改革研究</w:t>
            </w:r>
          </w:p>
        </w:tc>
        <w:tc>
          <w:tcPr>
            <w:tcW w:w="1065" w:type="dxa"/>
            <w:vAlign w:val="center"/>
          </w:tcPr>
          <w:p w14:paraId="2968BEE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杨 玲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562F6F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44809E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EA604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EA35C99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5AD7F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电子与信息学院</w:t>
            </w:r>
          </w:p>
        </w:tc>
        <w:tc>
          <w:tcPr>
            <w:tcW w:w="7259" w:type="dxa"/>
            <w:vAlign w:val="center"/>
          </w:tcPr>
          <w:p w14:paraId="2A18943B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模拟电子技术混合教学的研究</w:t>
            </w:r>
          </w:p>
        </w:tc>
        <w:tc>
          <w:tcPr>
            <w:tcW w:w="1065" w:type="dxa"/>
            <w:vAlign w:val="center"/>
          </w:tcPr>
          <w:p w14:paraId="7C15722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刘娇蛟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365CCA8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094D122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76D6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C0D763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A2D93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自动化科学与工程学院</w:t>
            </w:r>
          </w:p>
        </w:tc>
        <w:tc>
          <w:tcPr>
            <w:tcW w:w="7259" w:type="dxa"/>
            <w:vAlign w:val="center"/>
          </w:tcPr>
          <w:p w14:paraId="2124065A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基于CDIO的机器人技术基础课程设计教学改革</w:t>
            </w:r>
          </w:p>
        </w:tc>
        <w:tc>
          <w:tcPr>
            <w:tcW w:w="1065" w:type="dxa"/>
            <w:vAlign w:val="center"/>
          </w:tcPr>
          <w:p w14:paraId="6544E72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 xml:space="preserve">杜启亮 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7E0EAAA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9D821A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D676B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57894C7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FBF3A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自动化科学与工程学院</w:t>
            </w:r>
          </w:p>
        </w:tc>
        <w:tc>
          <w:tcPr>
            <w:tcW w:w="7259" w:type="dxa"/>
            <w:vAlign w:val="center"/>
          </w:tcPr>
          <w:p w14:paraId="39BFFA6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《数据结构与算法》在求解复杂机器学习问题中的应用实践</w:t>
            </w:r>
          </w:p>
        </w:tc>
        <w:tc>
          <w:tcPr>
            <w:tcW w:w="1065" w:type="dxa"/>
            <w:vAlign w:val="center"/>
          </w:tcPr>
          <w:p w14:paraId="707330A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彭云建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9D4311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DF84B1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B3D7F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D3C41D8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65FB7F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电子商务系</w:t>
            </w:r>
          </w:p>
        </w:tc>
        <w:tc>
          <w:tcPr>
            <w:tcW w:w="7259" w:type="dxa"/>
            <w:vAlign w:val="center"/>
          </w:tcPr>
          <w:p w14:paraId="16F1DA24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 xml:space="preserve">“双创型”人才培养导向的电子商务专业管理类课程体系改革研究  </w:t>
            </w:r>
          </w:p>
        </w:tc>
        <w:tc>
          <w:tcPr>
            <w:tcW w:w="1065" w:type="dxa"/>
            <w:vAlign w:val="center"/>
          </w:tcPr>
          <w:p w14:paraId="783DFD99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谷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斌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1355930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46B37B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8D6CD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E9CDBC7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95E38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电子商务系</w:t>
            </w:r>
          </w:p>
        </w:tc>
        <w:tc>
          <w:tcPr>
            <w:tcW w:w="7259" w:type="dxa"/>
            <w:vAlign w:val="center"/>
          </w:tcPr>
          <w:p w14:paraId="7CA6B2E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慕课持续改进与课程思政建设的融合探索</w:t>
            </w:r>
          </w:p>
        </w:tc>
        <w:tc>
          <w:tcPr>
            <w:tcW w:w="1065" w:type="dxa"/>
            <w:vAlign w:val="center"/>
          </w:tcPr>
          <w:p w14:paraId="1C48210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徐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勇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55ABF6B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25F966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DD1D9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1DA7B5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FC5B13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数学学院</w:t>
            </w:r>
          </w:p>
        </w:tc>
        <w:tc>
          <w:tcPr>
            <w:tcW w:w="7259" w:type="dxa"/>
            <w:vAlign w:val="center"/>
          </w:tcPr>
          <w:p w14:paraId="3289C12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基于学科竞赛的双创教育与专业教育探讨</w:t>
            </w:r>
          </w:p>
        </w:tc>
        <w:tc>
          <w:tcPr>
            <w:tcW w:w="1065" w:type="dxa"/>
            <w:vAlign w:val="center"/>
          </w:tcPr>
          <w:p w14:paraId="5EAC5102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程永宽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FB9553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322FD19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AC23F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E108E35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38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EF6B9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工商管理学院</w:t>
            </w:r>
          </w:p>
        </w:tc>
        <w:tc>
          <w:tcPr>
            <w:tcW w:w="7259" w:type="dxa"/>
            <w:vAlign w:val="center"/>
          </w:tcPr>
          <w:p w14:paraId="469B7D0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面向学生学习质量提升的微观经济学课程教学改革与实践研究</w:t>
            </w:r>
          </w:p>
        </w:tc>
        <w:tc>
          <w:tcPr>
            <w:tcW w:w="1065" w:type="dxa"/>
            <w:vAlign w:val="center"/>
          </w:tcPr>
          <w:p w14:paraId="6CC3EF1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樊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霞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59AD9AA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43B0F84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98D17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FE6F45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39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ED8D2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工商管理学院</w:t>
            </w:r>
          </w:p>
        </w:tc>
        <w:tc>
          <w:tcPr>
            <w:tcW w:w="7259" w:type="dxa"/>
            <w:vAlign w:val="center"/>
          </w:tcPr>
          <w:p w14:paraId="37624FC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基于CDIO的工业工程复合型人才培养实验教学研究</w:t>
            </w:r>
          </w:p>
        </w:tc>
        <w:tc>
          <w:tcPr>
            <w:tcW w:w="1065" w:type="dxa"/>
            <w:vAlign w:val="center"/>
          </w:tcPr>
          <w:p w14:paraId="43486A4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余建军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4EF7D2A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65463F5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FD57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B6AB3C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40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8A5AA5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经济与金融学院</w:t>
            </w:r>
          </w:p>
        </w:tc>
        <w:tc>
          <w:tcPr>
            <w:tcW w:w="7259" w:type="dxa"/>
            <w:vAlign w:val="center"/>
          </w:tcPr>
          <w:p w14:paraId="6A419E4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“专创融合”视域下金融科技专业教学创新与实践</w:t>
            </w:r>
          </w:p>
        </w:tc>
        <w:tc>
          <w:tcPr>
            <w:tcW w:w="1065" w:type="dxa"/>
            <w:vAlign w:val="center"/>
          </w:tcPr>
          <w:p w14:paraId="3D0C0DA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李合龙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47BE72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2174CC6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AB77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873B106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41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4CF5E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经济与金融学院</w:t>
            </w:r>
          </w:p>
        </w:tc>
        <w:tc>
          <w:tcPr>
            <w:tcW w:w="7259" w:type="dxa"/>
            <w:vAlign w:val="center"/>
          </w:tcPr>
          <w:p w14:paraId="612AD30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新时期马克思主义政治经济学教研室建设</w:t>
            </w:r>
          </w:p>
        </w:tc>
        <w:tc>
          <w:tcPr>
            <w:tcW w:w="1065" w:type="dxa"/>
            <w:vAlign w:val="center"/>
          </w:tcPr>
          <w:p w14:paraId="6D5F7F1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孙坚强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0D5E12B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9E9794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3D95A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4815015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42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B348A6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经济与金融学院</w:t>
            </w:r>
          </w:p>
        </w:tc>
        <w:tc>
          <w:tcPr>
            <w:tcW w:w="7259" w:type="dxa"/>
            <w:vAlign w:val="center"/>
          </w:tcPr>
          <w:p w14:paraId="00AA683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比较教学法在马克思主义政治经济学教学中的应用研究</w:t>
            </w:r>
          </w:p>
        </w:tc>
        <w:tc>
          <w:tcPr>
            <w:tcW w:w="1065" w:type="dxa"/>
            <w:vAlign w:val="center"/>
          </w:tcPr>
          <w:p w14:paraId="405E0E23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曹建云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23F36F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0D036E73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E795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AE9BB47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43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57D74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法学院</w:t>
            </w:r>
          </w:p>
        </w:tc>
        <w:tc>
          <w:tcPr>
            <w:tcW w:w="7259" w:type="dxa"/>
            <w:vAlign w:val="center"/>
          </w:tcPr>
          <w:p w14:paraId="34D331A3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新文科背景下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提升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法科生法学实践能力的路径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研究</w:t>
            </w:r>
          </w:p>
        </w:tc>
        <w:tc>
          <w:tcPr>
            <w:tcW w:w="1065" w:type="dxa"/>
            <w:vAlign w:val="center"/>
          </w:tcPr>
          <w:p w14:paraId="7DD87CB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黄旭东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1FAC79B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71D1FBD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03C35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36BFF29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44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1F40E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法学院</w:t>
            </w:r>
          </w:p>
        </w:tc>
        <w:tc>
          <w:tcPr>
            <w:tcW w:w="7259" w:type="dxa"/>
            <w:vAlign w:val="center"/>
          </w:tcPr>
          <w:p w14:paraId="586C261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高校卓越法律人才自我发现与自我激励培养机制研究—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-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以研讨式教学为中心展开</w:t>
            </w:r>
          </w:p>
        </w:tc>
        <w:tc>
          <w:tcPr>
            <w:tcW w:w="1065" w:type="dxa"/>
            <w:vAlign w:val="center"/>
          </w:tcPr>
          <w:p w14:paraId="3CBE48ED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娟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7065BB6C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33C36EA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643DF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E8EE9A0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45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912B3C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体育学院</w:t>
            </w:r>
          </w:p>
        </w:tc>
        <w:tc>
          <w:tcPr>
            <w:tcW w:w="7259" w:type="dxa"/>
            <w:vAlign w:val="center"/>
          </w:tcPr>
          <w:p w14:paraId="7C4B971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高校公共体育教学风险与应对策略研究</w:t>
            </w:r>
          </w:p>
        </w:tc>
        <w:tc>
          <w:tcPr>
            <w:tcW w:w="1065" w:type="dxa"/>
            <w:vAlign w:val="center"/>
          </w:tcPr>
          <w:p w14:paraId="07C5871A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霍德利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68E6315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1338E83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B27BA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2D76308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46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50433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外国语学院</w:t>
            </w:r>
          </w:p>
        </w:tc>
        <w:tc>
          <w:tcPr>
            <w:tcW w:w="7259" w:type="dxa"/>
            <w:vAlign w:val="center"/>
          </w:tcPr>
          <w:p w14:paraId="1306D33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基于慕课的商务英语混合教学生态构建研究</w:t>
            </w:r>
          </w:p>
        </w:tc>
        <w:tc>
          <w:tcPr>
            <w:tcW w:w="1065" w:type="dxa"/>
            <w:vAlign w:val="center"/>
          </w:tcPr>
          <w:p w14:paraId="482D1C6A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珣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1A6E560E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54C48A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F6C31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2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E20EDC2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47</w:t>
            </w:r>
          </w:p>
        </w:tc>
        <w:tc>
          <w:tcPr>
            <w:tcW w:w="2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921B70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新闻与传播学院</w:t>
            </w:r>
          </w:p>
        </w:tc>
        <w:tc>
          <w:tcPr>
            <w:tcW w:w="7259" w:type="dxa"/>
            <w:vAlign w:val="center"/>
          </w:tcPr>
          <w:p w14:paraId="65093DA2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“虚拟教研”模式下翻转课堂的探索和效果提升—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-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基于省级线上一流课程“说话的艺术”</w:t>
            </w:r>
          </w:p>
        </w:tc>
        <w:tc>
          <w:tcPr>
            <w:tcW w:w="1065" w:type="dxa"/>
            <w:vAlign w:val="center"/>
          </w:tcPr>
          <w:p w14:paraId="7E674C9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严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俊</w: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3DD2ED1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3" w:type="dxa"/>
            <w:shd w:val="clear" w:color="auto" w:fill="auto"/>
            <w:vAlign w:val="center"/>
          </w:tcPr>
          <w:p w14:paraId="457F81A3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622CDAB8">
      <w:pPr>
        <w:pStyle w:val="12"/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000000" w:themeColor="text1"/>
          <w:sz w:val="28"/>
        </w:rPr>
      </w:pPr>
      <w:r>
        <w:rPr>
          <w:rFonts w:hint="eastAsia" w:ascii="宋体" w:hAnsi="宋体" w:eastAsia="宋体" w:cs="宋体"/>
          <w:color w:val="000000" w:themeColor="text1"/>
          <w:sz w:val="28"/>
          <w:lang w:eastAsia="zh-CN"/>
        </w:rPr>
        <w:t>（</w:t>
      </w:r>
      <w:r>
        <w:rPr>
          <w:rFonts w:hint="eastAsia" w:ascii="宋体" w:hAnsi="宋体" w:eastAsia="宋体" w:cs="宋体"/>
          <w:color w:val="000000" w:themeColor="text1"/>
          <w:sz w:val="28"/>
          <w:lang w:val="en-US" w:eastAsia="zh-CN"/>
        </w:rPr>
        <w:t>二）</w:t>
      </w:r>
      <w:r>
        <w:rPr>
          <w:rFonts w:hint="eastAsia" w:ascii="宋体" w:hAnsi="宋体" w:eastAsia="宋体" w:cs="宋体"/>
          <w:color w:val="000000" w:themeColor="text1"/>
          <w:sz w:val="28"/>
        </w:rPr>
        <w:t>青年专项</w:t>
      </w:r>
    </w:p>
    <w:tbl>
      <w:tblPr>
        <w:tblStyle w:val="6"/>
        <w:tblW w:w="518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9"/>
        <w:gridCol w:w="2564"/>
        <w:gridCol w:w="7228"/>
        <w:gridCol w:w="1050"/>
        <w:gridCol w:w="1410"/>
        <w:gridCol w:w="1410"/>
      </w:tblGrid>
      <w:tr w14:paraId="237078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89" w:type="dxa"/>
            <w:shd w:val="clear" w:color="auto" w:fill="auto"/>
            <w:vAlign w:val="center"/>
          </w:tcPr>
          <w:p w14:paraId="61069219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序号</w:t>
            </w:r>
          </w:p>
        </w:tc>
        <w:tc>
          <w:tcPr>
            <w:tcW w:w="2564" w:type="dxa"/>
            <w:shd w:val="clear" w:color="auto" w:fill="auto"/>
            <w:vAlign w:val="center"/>
          </w:tcPr>
          <w:p w14:paraId="1A4CB349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名称</w:t>
            </w:r>
          </w:p>
        </w:tc>
        <w:tc>
          <w:tcPr>
            <w:tcW w:w="7228" w:type="dxa"/>
            <w:shd w:val="clear" w:color="auto" w:fill="auto"/>
            <w:vAlign w:val="center"/>
          </w:tcPr>
          <w:p w14:paraId="1CA57460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项目名称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3C26CA1F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主持人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4192DB7">
            <w:pPr>
              <w:jc w:val="center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项目类型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622D87B">
            <w:pPr>
              <w:jc w:val="center"/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  <w:lang w:eastAsia="zh-CN"/>
              </w:rPr>
              <w:t>验收结论</w:t>
            </w:r>
          </w:p>
        </w:tc>
      </w:tr>
      <w:tr w14:paraId="628E24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27247F1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92FB0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28" w:type="dxa"/>
            <w:vAlign w:val="center"/>
          </w:tcPr>
          <w:p w14:paraId="5CC950E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汽车惯性参数实验教学改革实践</w:t>
            </w:r>
          </w:p>
        </w:tc>
        <w:tc>
          <w:tcPr>
            <w:tcW w:w="1050" w:type="dxa"/>
            <w:vAlign w:val="center"/>
          </w:tcPr>
          <w:p w14:paraId="2BE740A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魏政君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5D118BE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6F78BD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FF9DA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02AC58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D3FB2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环境与能源学院</w:t>
            </w:r>
          </w:p>
        </w:tc>
        <w:tc>
          <w:tcPr>
            <w:tcW w:w="7228" w:type="dxa"/>
            <w:vAlign w:val="center"/>
          </w:tcPr>
          <w:p w14:paraId="2D237F0B">
            <w:pPr>
              <w:widowControl/>
              <w:rPr>
                <w:rFonts w:hint="default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以问题为导向的《环境工程设计施工与管理》对分课堂教学模式探索与改革</w:t>
            </w:r>
          </w:p>
        </w:tc>
        <w:tc>
          <w:tcPr>
            <w:tcW w:w="1050" w:type="dxa"/>
            <w:vAlign w:val="center"/>
          </w:tcPr>
          <w:p w14:paraId="71CEAD2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邱光磊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B56354C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CF2314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8939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F0F541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D9201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计算机科学与工程学院</w:t>
            </w:r>
          </w:p>
        </w:tc>
        <w:tc>
          <w:tcPr>
            <w:tcW w:w="7228" w:type="dxa"/>
            <w:vAlign w:val="center"/>
          </w:tcPr>
          <w:p w14:paraId="05967AA7">
            <w:pPr>
              <w:widowControl/>
              <w:rPr>
                <w:rFonts w:hint="default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面向实践与创新能力培养的操作系统课程教学改革</w:t>
            </w:r>
          </w:p>
        </w:tc>
        <w:tc>
          <w:tcPr>
            <w:tcW w:w="1050" w:type="dxa"/>
            <w:vAlign w:val="center"/>
          </w:tcPr>
          <w:p w14:paraId="0346E32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钟竞辉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BA4931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D492A6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497D4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E0A9826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13D704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未来技术学院</w:t>
            </w:r>
          </w:p>
        </w:tc>
        <w:tc>
          <w:tcPr>
            <w:tcW w:w="7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047CE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基于校企合作的开放式项目制实践教学研究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F3979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舒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琳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32B65A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6A3901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0025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DDC6FA0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73AD2B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自动化科学与工程学院</w:t>
            </w:r>
          </w:p>
        </w:tc>
        <w:tc>
          <w:tcPr>
            <w:tcW w:w="7228" w:type="dxa"/>
            <w:vAlign w:val="center"/>
          </w:tcPr>
          <w:p w14:paraId="38D96AFD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CDIO 工程教育模式下《自动控制原理》课程创新</w:t>
            </w:r>
          </w:p>
        </w:tc>
        <w:tc>
          <w:tcPr>
            <w:tcW w:w="1050" w:type="dxa"/>
            <w:vAlign w:val="center"/>
          </w:tcPr>
          <w:p w14:paraId="1A0F549A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张浪文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3CC415B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34A314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D1A31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CCABBBD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65C85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新闻与传播学院</w:t>
            </w:r>
          </w:p>
        </w:tc>
        <w:tc>
          <w:tcPr>
            <w:tcW w:w="7228" w:type="dxa"/>
            <w:vAlign w:val="center"/>
          </w:tcPr>
          <w:p w14:paraId="18C9BC13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高校美育背景下基于师生共创的视听新媒体类课程教学模式探索</w:t>
            </w:r>
          </w:p>
        </w:tc>
        <w:tc>
          <w:tcPr>
            <w:tcW w:w="1050" w:type="dxa"/>
            <w:vAlign w:val="center"/>
          </w:tcPr>
          <w:p w14:paraId="0C34DA72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eastAsia="zh-Hans"/>
              </w:rPr>
              <w:t>张陆园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9588966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F227FA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E9C23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78AF7D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99D1F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28" w:type="dxa"/>
            <w:vAlign w:val="center"/>
          </w:tcPr>
          <w:p w14:paraId="13A03BB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智能制造实践教学改革与探索</w:t>
            </w:r>
          </w:p>
        </w:tc>
        <w:tc>
          <w:tcPr>
            <w:tcW w:w="1050" w:type="dxa"/>
            <w:vAlign w:val="center"/>
          </w:tcPr>
          <w:p w14:paraId="2697C99B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卿剑波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AB069C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4D7F924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暂缓通过</w:t>
            </w:r>
          </w:p>
        </w:tc>
      </w:tr>
      <w:tr w14:paraId="41272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524E97A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AAE2D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机械与汽车工程学院</w:t>
            </w:r>
          </w:p>
        </w:tc>
        <w:tc>
          <w:tcPr>
            <w:tcW w:w="7228" w:type="dxa"/>
            <w:vAlign w:val="center"/>
          </w:tcPr>
          <w:p w14:paraId="452BAFD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基于PBL模式和多元化考核的激光加工实训课程改革</w:t>
            </w:r>
          </w:p>
        </w:tc>
        <w:tc>
          <w:tcPr>
            <w:tcW w:w="1050" w:type="dxa"/>
            <w:vAlign w:val="center"/>
          </w:tcPr>
          <w:p w14:paraId="3D004C1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曹雪璐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C52FD5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CE9658D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27DED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D4DDAF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B57D1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建筑学院</w:t>
            </w:r>
          </w:p>
        </w:tc>
        <w:tc>
          <w:tcPr>
            <w:tcW w:w="7228" w:type="dxa"/>
            <w:vAlign w:val="center"/>
          </w:tcPr>
          <w:p w14:paraId="244F216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面向国土空间规划体系的城乡规划教学改革研究</w:t>
            </w:r>
          </w:p>
        </w:tc>
        <w:tc>
          <w:tcPr>
            <w:tcW w:w="1050" w:type="dxa"/>
            <w:vAlign w:val="center"/>
          </w:tcPr>
          <w:p w14:paraId="0EA6F62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064FE58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4366B1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7D801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A0C68FC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10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F5CBB2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28" w:type="dxa"/>
            <w:vAlign w:val="center"/>
          </w:tcPr>
          <w:p w14:paraId="5B38ED13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智慧水务背景下《工程水文学》课程的探索与实践</w:t>
            </w:r>
          </w:p>
        </w:tc>
        <w:tc>
          <w:tcPr>
            <w:tcW w:w="1050" w:type="dxa"/>
            <w:vAlign w:val="center"/>
          </w:tcPr>
          <w:p w14:paraId="30F2ABB3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胡海英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48D5D2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6B8523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066EF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E3B0788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824A5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28" w:type="dxa"/>
            <w:vAlign w:val="center"/>
          </w:tcPr>
          <w:p w14:paraId="313906D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交通强国战略下《现代物流组织与调度》课程教学改革与实践</w:t>
            </w:r>
          </w:p>
        </w:tc>
        <w:tc>
          <w:tcPr>
            <w:tcW w:w="1050" w:type="dxa"/>
            <w:vAlign w:val="center"/>
          </w:tcPr>
          <w:p w14:paraId="3C9609E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巫威眺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EACC0B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75BA4C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DC7AC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0123862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F7E487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设计学院</w:t>
            </w:r>
          </w:p>
        </w:tc>
        <w:tc>
          <w:tcPr>
            <w:tcW w:w="7228" w:type="dxa"/>
            <w:vAlign w:val="center"/>
          </w:tcPr>
          <w:p w14:paraId="2BA5B57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智能硬件基础课程项目驱动式教学改革</w:t>
            </w:r>
          </w:p>
        </w:tc>
        <w:tc>
          <w:tcPr>
            <w:tcW w:w="1050" w:type="dxa"/>
            <w:vAlign w:val="center"/>
          </w:tcPr>
          <w:p w14:paraId="7BBDE87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张续冲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45BFA6A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0DFF5B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5C92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1833E26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30A579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vAlign w:val="center"/>
          </w:tcPr>
          <w:p w14:paraId="12762D1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基于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“STS理念”的“课题式”本科实验教学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改革研究</w:t>
            </w:r>
          </w:p>
        </w:tc>
        <w:tc>
          <w:tcPr>
            <w:tcW w:w="1050" w:type="dxa"/>
            <w:vAlign w:val="center"/>
          </w:tcPr>
          <w:p w14:paraId="2B8F2F8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刘利娜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3C5799D">
            <w:pPr>
              <w:widowControl/>
              <w:ind w:firstLine="240" w:firstLineChars="100"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CDC262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68976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86AB22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14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E5CD52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A7AE6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面向新工科的《文献检索实践与大数据》教学改革研究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44569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磊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2AFBAB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1C4014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ADEC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0E20F9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37C3E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vAlign w:val="center"/>
          </w:tcPr>
          <w:p w14:paraId="548E5EC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基于课程中心的《化工原理实验》网站建设及疫情下“线上线下”教学模式探索</w:t>
            </w:r>
          </w:p>
        </w:tc>
        <w:tc>
          <w:tcPr>
            <w:tcW w:w="1050" w:type="dxa"/>
            <w:vAlign w:val="center"/>
          </w:tcPr>
          <w:p w14:paraId="32B0D77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黄锦浩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A46774A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5C9715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A011A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3B19390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ED438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vAlign w:val="center"/>
          </w:tcPr>
          <w:p w14:paraId="20EC1C1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新工科背景下《有机化学》课程教学改革探索及效果评价</w:t>
            </w:r>
          </w:p>
        </w:tc>
        <w:tc>
          <w:tcPr>
            <w:tcW w:w="1050" w:type="dxa"/>
            <w:vAlign w:val="center"/>
          </w:tcPr>
          <w:p w14:paraId="3FC42E48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伍婉卿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7D43B2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A9AB6F8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6AD51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A8C95C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034E04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8" w:type="dxa"/>
            <w:vAlign w:val="center"/>
          </w:tcPr>
          <w:p w14:paraId="56B6F8D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课程思政背景下化学反应工程线上-线下教学改革与实践</w:t>
            </w:r>
          </w:p>
        </w:tc>
        <w:tc>
          <w:tcPr>
            <w:tcW w:w="1050" w:type="dxa"/>
            <w:vAlign w:val="center"/>
          </w:tcPr>
          <w:p w14:paraId="4A1E09C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曹永海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9A80E3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A6878A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7BC3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C19F3D6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D081C8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轻工科学与工程学院</w:t>
            </w:r>
          </w:p>
        </w:tc>
        <w:tc>
          <w:tcPr>
            <w:tcW w:w="7228" w:type="dxa"/>
            <w:vAlign w:val="center"/>
          </w:tcPr>
          <w:p w14:paraId="596909C3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翻转课堂在理工类全英课教学中的应用实践</w:t>
            </w:r>
          </w:p>
        </w:tc>
        <w:tc>
          <w:tcPr>
            <w:tcW w:w="1050" w:type="dxa"/>
            <w:vAlign w:val="center"/>
          </w:tcPr>
          <w:p w14:paraId="5F5B441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项舟洋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6E8726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E39A72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524BE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548FB5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855AF2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轻工科学与工程学院</w:t>
            </w:r>
          </w:p>
        </w:tc>
        <w:tc>
          <w:tcPr>
            <w:tcW w:w="7228" w:type="dxa"/>
            <w:vAlign w:val="center"/>
          </w:tcPr>
          <w:p w14:paraId="271574E8">
            <w:pPr>
              <w:widowControl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以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“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三走进”为思路的教学改革探索</w:t>
            </w:r>
          </w:p>
        </w:tc>
        <w:tc>
          <w:tcPr>
            <w:tcW w:w="1050" w:type="dxa"/>
            <w:vAlign w:val="center"/>
          </w:tcPr>
          <w:p w14:paraId="208C1160">
            <w:pPr>
              <w:widowControl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彭新文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98A5E5B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D42F1D4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A920F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BE15F3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0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4812AA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生物科学与工程学院</w:t>
            </w:r>
          </w:p>
        </w:tc>
        <w:tc>
          <w:tcPr>
            <w:tcW w:w="7228" w:type="dxa"/>
            <w:vAlign w:val="center"/>
          </w:tcPr>
          <w:p w14:paraId="25E23B3B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 xml:space="preserve">互动拓展式教学方法在普通生物学教学中的设计及应用 </w:t>
            </w:r>
          </w:p>
        </w:tc>
        <w:tc>
          <w:tcPr>
            <w:tcW w:w="1050" w:type="dxa"/>
            <w:vAlign w:val="center"/>
          </w:tcPr>
          <w:p w14:paraId="47DEFF6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马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毅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DD48D9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2DDB332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  <w:t>申请延期</w:t>
            </w:r>
          </w:p>
        </w:tc>
      </w:tr>
      <w:tr w14:paraId="369190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526EACB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1CFE1C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食品科学与工程学院</w:t>
            </w:r>
          </w:p>
        </w:tc>
        <w:tc>
          <w:tcPr>
            <w:tcW w:w="7228" w:type="dxa"/>
            <w:vAlign w:val="center"/>
          </w:tcPr>
          <w:p w14:paraId="208D04C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交叉融合教学模式在食品分析实验课程中的应用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研究</w:t>
            </w:r>
          </w:p>
        </w:tc>
        <w:tc>
          <w:tcPr>
            <w:tcW w:w="1050" w:type="dxa"/>
            <w:vAlign w:val="center"/>
          </w:tcPr>
          <w:p w14:paraId="3CDAE55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丽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F2CEB5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一般</w:t>
            </w:r>
            <w:r>
              <w:rPr>
                <w:rFonts w:ascii="仿宋" w:hAnsi="仿宋" w:eastAsia="仿宋"/>
                <w:color w:val="000000" w:themeColor="text1"/>
                <w:sz w:val="24"/>
              </w:rPr>
              <w:t>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25328D6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B86D8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0BA222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4190F1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食品科学与工程学院</w:t>
            </w:r>
          </w:p>
        </w:tc>
        <w:tc>
          <w:tcPr>
            <w:tcW w:w="7228" w:type="dxa"/>
            <w:vAlign w:val="center"/>
          </w:tcPr>
          <w:p w14:paraId="16095AF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以成绩分析为导向的教学管理持续改进问题研究</w:t>
            </w:r>
          </w:p>
        </w:tc>
        <w:tc>
          <w:tcPr>
            <w:tcW w:w="1050" w:type="dxa"/>
            <w:vAlign w:val="center"/>
          </w:tcPr>
          <w:p w14:paraId="25817E4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黄易坤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4C3AC2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3BA839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暂缓通过</w:t>
            </w:r>
          </w:p>
        </w:tc>
      </w:tr>
      <w:tr w14:paraId="49AFDB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4307D4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508F8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软件学院</w:t>
            </w:r>
          </w:p>
        </w:tc>
        <w:tc>
          <w:tcPr>
            <w:tcW w:w="7228" w:type="dxa"/>
            <w:vAlign w:val="center"/>
          </w:tcPr>
          <w:p w14:paraId="6570ED64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双创教育与离散数学数据库系统等课程融合的研究</w:t>
            </w:r>
          </w:p>
        </w:tc>
        <w:tc>
          <w:tcPr>
            <w:tcW w:w="1050" w:type="dxa"/>
            <w:vAlign w:val="center"/>
          </w:tcPr>
          <w:p w14:paraId="22AEC652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曾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兵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034AEA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88A6490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07602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2A06F6A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EB3C29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微电子学院</w:t>
            </w:r>
          </w:p>
        </w:tc>
        <w:tc>
          <w:tcPr>
            <w:tcW w:w="7228" w:type="dxa"/>
            <w:vAlign w:val="center"/>
          </w:tcPr>
          <w:p w14:paraId="08480BAD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《半导体器件（全英）》混合式教学改革与探索</w:t>
            </w:r>
          </w:p>
        </w:tc>
        <w:tc>
          <w:tcPr>
            <w:tcW w:w="1050" w:type="dxa"/>
            <w:vAlign w:val="center"/>
          </w:tcPr>
          <w:p w14:paraId="14AD296E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周长见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4901C6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216A60A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92C6C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854609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9B9D17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吴贤铭智能工程学院</w:t>
            </w:r>
          </w:p>
        </w:tc>
        <w:tc>
          <w:tcPr>
            <w:tcW w:w="7228" w:type="dxa"/>
            <w:vAlign w:val="center"/>
          </w:tcPr>
          <w:p w14:paraId="2E0CD2F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基于多维度学习状态评估的新工科课程教学模式改革与实践</w:t>
            </w:r>
          </w:p>
        </w:tc>
        <w:tc>
          <w:tcPr>
            <w:tcW w:w="1050" w:type="dxa"/>
            <w:vAlign w:val="center"/>
          </w:tcPr>
          <w:p w14:paraId="7A41C05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卢少锋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3C03A1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1B3C7F5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9BCE4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5271364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E24774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吴贤铭智能工程学院</w:t>
            </w:r>
          </w:p>
        </w:tc>
        <w:tc>
          <w:tcPr>
            <w:tcW w:w="7228" w:type="dxa"/>
            <w:vAlign w:val="center"/>
          </w:tcPr>
          <w:p w14:paraId="3BB8D19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新工科背景下经典力学的教学方法改革探索与实践</w:t>
            </w:r>
          </w:p>
        </w:tc>
        <w:tc>
          <w:tcPr>
            <w:tcW w:w="1050" w:type="dxa"/>
            <w:vAlign w:val="center"/>
          </w:tcPr>
          <w:p w14:paraId="78AC40B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喻婷婷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7E1994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6E7362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13C85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3CCFAA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26C0D1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未来技术学院</w:t>
            </w:r>
          </w:p>
        </w:tc>
        <w:tc>
          <w:tcPr>
            <w:tcW w:w="7228" w:type="dxa"/>
            <w:vAlign w:val="center"/>
          </w:tcPr>
          <w:p w14:paraId="0FB0389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基于百度 AI 平台的大数据类实验教学实践</w:t>
            </w:r>
          </w:p>
        </w:tc>
        <w:tc>
          <w:tcPr>
            <w:tcW w:w="1050" w:type="dxa"/>
            <w:vAlign w:val="center"/>
          </w:tcPr>
          <w:p w14:paraId="4F19276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邓佳丽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26D7DE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52CBF65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8DED0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C0036E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28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DDE78D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物理与光电学院</w:t>
            </w:r>
          </w:p>
        </w:tc>
        <w:tc>
          <w:tcPr>
            <w:tcW w:w="7228" w:type="dxa"/>
            <w:vAlign w:val="center"/>
          </w:tcPr>
          <w:p w14:paraId="65EEBE6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基于课程中心的大学物理实验SPOC平台建设</w:t>
            </w:r>
          </w:p>
        </w:tc>
        <w:tc>
          <w:tcPr>
            <w:tcW w:w="1050" w:type="dxa"/>
            <w:vAlign w:val="center"/>
          </w:tcPr>
          <w:p w14:paraId="0EC5CA3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Hans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侯冬曼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662792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50D971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D597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94D631F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29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21EFC0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电力学院</w:t>
            </w:r>
          </w:p>
        </w:tc>
        <w:tc>
          <w:tcPr>
            <w:tcW w:w="7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0B0BF8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“新工科”背景下能源与动力工程专业课群建设改革与实践-以《控制工程基础》课群建设为例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4ECB8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荣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254F82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380C76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3B3F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70D4B17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30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CB0879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自动化科学与工程学院</w:t>
            </w:r>
          </w:p>
        </w:tc>
        <w:tc>
          <w:tcPr>
            <w:tcW w:w="72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1DD8F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加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 xml:space="preserve">强一流课程建设 提高人才培养质量——以《机器人实践课程》为例 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B8A31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邓晓燕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DED717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03A8BF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49C8C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00E1F8F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C660F6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广州国际校区公共基础实验中心</w:t>
            </w:r>
          </w:p>
        </w:tc>
        <w:tc>
          <w:tcPr>
            <w:tcW w:w="7228" w:type="dxa"/>
            <w:vAlign w:val="center"/>
          </w:tcPr>
          <w:p w14:paraId="59BF81B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基于项目制的实训体系建设与实践--以多能源接力车项目为例</w:t>
            </w:r>
          </w:p>
        </w:tc>
        <w:tc>
          <w:tcPr>
            <w:tcW w:w="1050" w:type="dxa"/>
            <w:vAlign w:val="center"/>
          </w:tcPr>
          <w:p w14:paraId="7D0F8B5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马骁驰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372124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1ABD9D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F47AD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D1DFDBF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DCAA1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工商管理学院</w:t>
            </w:r>
          </w:p>
        </w:tc>
        <w:tc>
          <w:tcPr>
            <w:tcW w:w="7228" w:type="dxa"/>
            <w:vAlign w:val="center"/>
          </w:tcPr>
          <w:p w14:paraId="1CC9FE2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工业4.0背景下生产运作管理教学改革与实践研究</w:t>
            </w:r>
          </w:p>
        </w:tc>
        <w:tc>
          <w:tcPr>
            <w:tcW w:w="1050" w:type="dxa"/>
            <w:vAlign w:val="center"/>
          </w:tcPr>
          <w:p w14:paraId="0CE3AA4A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钟远光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379FBC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BE9A7A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880AD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CFD3422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58697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公共管理学院</w:t>
            </w:r>
          </w:p>
        </w:tc>
        <w:tc>
          <w:tcPr>
            <w:tcW w:w="7228" w:type="dxa"/>
            <w:vAlign w:val="center"/>
          </w:tcPr>
          <w:p w14:paraId="1F90E80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多点融通：公共管理本科生教学模式的创新与实践</w:t>
            </w:r>
          </w:p>
        </w:tc>
        <w:tc>
          <w:tcPr>
            <w:tcW w:w="1050" w:type="dxa"/>
            <w:vAlign w:val="center"/>
          </w:tcPr>
          <w:p w14:paraId="6A363A4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源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EA3568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7C574C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D2E21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9250ADA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37EBF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公共管理学院</w:t>
            </w:r>
          </w:p>
        </w:tc>
        <w:tc>
          <w:tcPr>
            <w:tcW w:w="7228" w:type="dxa"/>
            <w:vAlign w:val="center"/>
          </w:tcPr>
          <w:p w14:paraId="267F43AE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新文科建设背景下一流课程提升学生学习质量研究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——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以《公共管理学》为例</w:t>
            </w:r>
          </w:p>
        </w:tc>
        <w:tc>
          <w:tcPr>
            <w:tcW w:w="1050" w:type="dxa"/>
            <w:vAlign w:val="center"/>
          </w:tcPr>
          <w:p w14:paraId="7A681B20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余亮亮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2718309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3C902D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6142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59616D2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A5ACA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体育学院</w:t>
            </w:r>
          </w:p>
        </w:tc>
        <w:tc>
          <w:tcPr>
            <w:tcW w:w="7228" w:type="dxa"/>
            <w:vAlign w:val="center"/>
          </w:tcPr>
          <w:p w14:paraId="3532C046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翻转课堂教学模式在高校游泳教学中的应用研究</w:t>
            </w:r>
          </w:p>
        </w:tc>
        <w:tc>
          <w:tcPr>
            <w:tcW w:w="1050" w:type="dxa"/>
            <w:vAlign w:val="center"/>
          </w:tcPr>
          <w:p w14:paraId="70CCDEF1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陈秀君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08A93F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CF23F1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E13F2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1FF72B9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6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CF3F2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体育学院</w:t>
            </w:r>
          </w:p>
        </w:tc>
        <w:tc>
          <w:tcPr>
            <w:tcW w:w="7228" w:type="dxa"/>
            <w:vAlign w:val="center"/>
          </w:tcPr>
          <w:p w14:paraId="77B6AF0C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大学生体育锻炼与心理健康关系的实证研究</w:t>
            </w:r>
          </w:p>
        </w:tc>
        <w:tc>
          <w:tcPr>
            <w:tcW w:w="1050" w:type="dxa"/>
            <w:vAlign w:val="center"/>
          </w:tcPr>
          <w:p w14:paraId="51E5D44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刘  思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4F1A7DE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8F220E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9684B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0738000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7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6387F7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体育学院</w:t>
            </w:r>
          </w:p>
        </w:tc>
        <w:tc>
          <w:tcPr>
            <w:tcW w:w="7228" w:type="dxa"/>
            <w:vAlign w:val="center"/>
          </w:tcPr>
          <w:p w14:paraId="59BFDF31">
            <w:pP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“四位一体”视域下高校公共体育课教学改革与实践—以华南理工大学板式网球课为例</w:t>
            </w:r>
          </w:p>
        </w:tc>
        <w:tc>
          <w:tcPr>
            <w:tcW w:w="1050" w:type="dxa"/>
            <w:vAlign w:val="center"/>
          </w:tcPr>
          <w:p w14:paraId="0E5326D5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岑国斌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F66918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A1BCE63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00559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C20B118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8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8E9D95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外国语学院</w:t>
            </w:r>
          </w:p>
        </w:tc>
        <w:tc>
          <w:tcPr>
            <w:tcW w:w="7228" w:type="dxa"/>
            <w:vAlign w:val="center"/>
          </w:tcPr>
          <w:p w14:paraId="0EA3900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eastAsia="zh-Hans"/>
              </w:rPr>
              <w:t>语言、旅游、思政三位一体模式下的德语通识课教学改革探索</w:t>
            </w:r>
          </w:p>
        </w:tc>
        <w:tc>
          <w:tcPr>
            <w:tcW w:w="1050" w:type="dxa"/>
            <w:vAlign w:val="center"/>
          </w:tcPr>
          <w:p w14:paraId="5DC0108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eastAsia="zh-Hans"/>
              </w:rPr>
              <w:t>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eastAsia="zh-Hans"/>
              </w:rPr>
              <w:t>婷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6594AD37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AEA4F7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D6092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B629568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9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92153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外国语学院</w:t>
            </w:r>
          </w:p>
        </w:tc>
        <w:tc>
          <w:tcPr>
            <w:tcW w:w="7228" w:type="dxa"/>
            <w:vAlign w:val="center"/>
          </w:tcPr>
          <w:p w14:paraId="636EC499">
            <w:pPr>
              <w:snapToGrid w:val="0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新工科背景下的英语语言中心建设与人才培养模式研究</w:t>
            </w:r>
          </w:p>
        </w:tc>
        <w:tc>
          <w:tcPr>
            <w:tcW w:w="1050" w:type="dxa"/>
            <w:vAlign w:val="center"/>
          </w:tcPr>
          <w:p w14:paraId="3F83DBAF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屈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薇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2574B4A3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6AA2A60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923A6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C8D2DA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A594E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国际教育学院</w:t>
            </w:r>
          </w:p>
        </w:tc>
        <w:tc>
          <w:tcPr>
            <w:tcW w:w="7228" w:type="dxa"/>
            <w:vAlign w:val="center"/>
          </w:tcPr>
          <w:p w14:paraId="34115768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面向来华留学生的汉语成语课程建设</w:t>
            </w:r>
          </w:p>
        </w:tc>
        <w:tc>
          <w:tcPr>
            <w:tcW w:w="1050" w:type="dxa"/>
            <w:vAlign w:val="center"/>
          </w:tcPr>
          <w:p w14:paraId="499A13B8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郭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婷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F35C6E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022A6E8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0FD85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9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3A0D4C0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  <w:t>41</w:t>
            </w:r>
          </w:p>
        </w:tc>
        <w:tc>
          <w:tcPr>
            <w:tcW w:w="25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BED839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lang w:val="en-US" w:eastAsia="zh-CN"/>
              </w:rPr>
              <w:t>国际校区教学事务办公室</w:t>
            </w:r>
          </w:p>
        </w:tc>
        <w:tc>
          <w:tcPr>
            <w:tcW w:w="7228" w:type="dxa"/>
            <w:vAlign w:val="center"/>
          </w:tcPr>
          <w:p w14:paraId="12AB9646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val="en-US" w:eastAsia="zh-CN"/>
              </w:rPr>
              <w:t>面向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</w:rPr>
              <w:t>新工科人才培养的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val="en-US" w:eastAsia="zh-CN"/>
              </w:rPr>
              <w:t>新生体验（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</w:rPr>
              <w:t>First-year Experience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eastAsia="zh-CN"/>
              </w:rPr>
              <w:t>）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val="en-US" w:eastAsia="zh-CN"/>
              </w:rPr>
              <w:t>课程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</w:rPr>
              <w:t>体系构建</w:t>
            </w:r>
          </w:p>
        </w:tc>
        <w:tc>
          <w:tcPr>
            <w:tcW w:w="1050" w:type="dxa"/>
            <w:vAlign w:val="center"/>
          </w:tcPr>
          <w:p w14:paraId="138893C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none"/>
                <w:lang w:val="en-US" w:eastAsia="zh-CN"/>
              </w:rPr>
              <w:t>杨天然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E8A851F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06AFD4AE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02BC049A">
      <w:pPr>
        <w:pStyle w:val="12"/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000000" w:themeColor="text1"/>
          <w:sz w:val="28"/>
        </w:rPr>
      </w:pPr>
      <w:r>
        <w:rPr>
          <w:rFonts w:hint="eastAsia" w:ascii="宋体" w:hAnsi="宋体" w:eastAsia="宋体" w:cs="宋体"/>
          <w:color w:val="000000" w:themeColor="text1"/>
          <w:sz w:val="28"/>
          <w:lang w:val="en-US" w:eastAsia="zh-CN"/>
        </w:rPr>
        <w:t>（三）思政</w:t>
      </w:r>
      <w:r>
        <w:rPr>
          <w:rFonts w:hint="eastAsia" w:ascii="宋体" w:hAnsi="宋体" w:eastAsia="宋体" w:cs="宋体"/>
          <w:color w:val="000000" w:themeColor="text1"/>
          <w:sz w:val="28"/>
        </w:rPr>
        <w:t>专项</w:t>
      </w:r>
    </w:p>
    <w:tbl>
      <w:tblPr>
        <w:tblStyle w:val="6"/>
        <w:tblW w:w="521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1"/>
        <w:gridCol w:w="2534"/>
        <w:gridCol w:w="7260"/>
        <w:gridCol w:w="1095"/>
        <w:gridCol w:w="1395"/>
        <w:gridCol w:w="1454"/>
      </w:tblGrid>
      <w:tr w14:paraId="6818A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81" w:type="dxa"/>
            <w:shd w:val="clear" w:color="auto" w:fill="auto"/>
            <w:vAlign w:val="center"/>
          </w:tcPr>
          <w:p w14:paraId="47171C72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序号</w:t>
            </w:r>
          </w:p>
        </w:tc>
        <w:tc>
          <w:tcPr>
            <w:tcW w:w="2534" w:type="dxa"/>
            <w:shd w:val="clear" w:color="auto" w:fill="auto"/>
            <w:vAlign w:val="center"/>
          </w:tcPr>
          <w:p w14:paraId="70A9DF54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名称</w:t>
            </w:r>
          </w:p>
        </w:tc>
        <w:tc>
          <w:tcPr>
            <w:tcW w:w="7260" w:type="dxa"/>
            <w:shd w:val="clear" w:color="auto" w:fill="auto"/>
            <w:vAlign w:val="center"/>
          </w:tcPr>
          <w:p w14:paraId="7183493D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项目名称</w:t>
            </w:r>
          </w:p>
        </w:tc>
        <w:tc>
          <w:tcPr>
            <w:tcW w:w="1095" w:type="dxa"/>
            <w:shd w:val="clear" w:color="auto" w:fill="auto"/>
            <w:vAlign w:val="center"/>
          </w:tcPr>
          <w:p w14:paraId="7B6F84F9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主持人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4A50ABC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项目类型</w:t>
            </w:r>
          </w:p>
        </w:tc>
        <w:tc>
          <w:tcPr>
            <w:tcW w:w="1454" w:type="dxa"/>
            <w:shd w:val="clear" w:color="auto" w:fill="auto"/>
            <w:vAlign w:val="center"/>
          </w:tcPr>
          <w:p w14:paraId="1D595C62">
            <w:pPr>
              <w:widowControl/>
              <w:jc w:val="center"/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  <w:t>验收结论</w:t>
            </w:r>
          </w:p>
        </w:tc>
      </w:tr>
      <w:tr w14:paraId="6C4BBD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434B87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E848ED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404CAAC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新时代高校中共党史党建学科建设和教学改革探析</w:t>
            </w:r>
          </w:p>
        </w:tc>
        <w:tc>
          <w:tcPr>
            <w:tcW w:w="1095" w:type="dxa"/>
            <w:vAlign w:val="center"/>
          </w:tcPr>
          <w:p w14:paraId="4F48938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祝全永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1F1E16B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69CB893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CN"/>
              </w:rPr>
              <w:t>申请延期</w:t>
            </w:r>
          </w:p>
        </w:tc>
      </w:tr>
      <w:tr w14:paraId="229D5F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BD6E38C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8AAD6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5F2A31F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问题与项目驱动结合的高校思政课大班分级教学模式研究</w:t>
            </w:r>
          </w:p>
        </w:tc>
        <w:tc>
          <w:tcPr>
            <w:tcW w:w="1095" w:type="dxa"/>
            <w:vAlign w:val="center"/>
          </w:tcPr>
          <w:p w14:paraId="5541334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张冬利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9FC2FC0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1CDE968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9443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727840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1579E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7E73DAF8">
            <w:pPr>
              <w:widowControl/>
              <w:tabs>
                <w:tab w:val="left" w:pos="1100"/>
              </w:tabs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中国优秀传统文化融入马克思主义基本原理教学研究</w:t>
            </w:r>
          </w:p>
        </w:tc>
        <w:tc>
          <w:tcPr>
            <w:tcW w:w="1095" w:type="dxa"/>
            <w:vAlign w:val="center"/>
          </w:tcPr>
          <w:p w14:paraId="6F442F5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张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倩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6E91E2D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840293D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0B23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911017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BB362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新闻与传播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学院</w:t>
            </w:r>
          </w:p>
        </w:tc>
        <w:tc>
          <w:tcPr>
            <w:tcW w:w="7260" w:type="dxa"/>
            <w:vAlign w:val="center"/>
          </w:tcPr>
          <w:p w14:paraId="53F3E032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新媒体传播语境下中国传统文化思政教学创新实践研究</w:t>
            </w:r>
          </w:p>
        </w:tc>
        <w:tc>
          <w:tcPr>
            <w:tcW w:w="1095" w:type="dxa"/>
            <w:vAlign w:val="center"/>
          </w:tcPr>
          <w:p w14:paraId="3A08DB3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齐莉莉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1B84C02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5FD1A6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79695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1342EAF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DE6FAC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55E4369D">
            <w:pPr>
              <w:snapToGrid w:val="0"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“三个历史决议”融入《马克思主义基本原理》课程教学研究</w:t>
            </w:r>
          </w:p>
        </w:tc>
        <w:tc>
          <w:tcPr>
            <w:tcW w:w="1095" w:type="dxa"/>
            <w:vAlign w:val="center"/>
          </w:tcPr>
          <w:p w14:paraId="093C5AA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牛俐智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6879AEE5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54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3547CE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445AE0BD">
      <w:pPr>
        <w:rPr>
          <w:rFonts w:hint="eastAsia" w:ascii="宋体" w:hAnsi="宋体" w:eastAsia="宋体" w:cs="宋体"/>
          <w:color w:val="FF0000"/>
          <w:sz w:val="28"/>
          <w:lang w:val="en-US" w:eastAsia="zh-CN"/>
        </w:rPr>
      </w:pPr>
      <w:r>
        <w:rPr>
          <w:rFonts w:hint="eastAsia" w:ascii="宋体" w:hAnsi="宋体" w:eastAsia="宋体" w:cs="宋体"/>
          <w:color w:val="000000" w:themeColor="text1"/>
          <w:sz w:val="28"/>
          <w:lang w:val="en-US" w:eastAsia="zh-CN"/>
        </w:rPr>
        <w:t>（四）医学专项</w:t>
      </w:r>
    </w:p>
    <w:tbl>
      <w:tblPr>
        <w:tblStyle w:val="6"/>
        <w:tblW w:w="526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5"/>
        <w:gridCol w:w="2599"/>
        <w:gridCol w:w="7230"/>
        <w:gridCol w:w="1174"/>
        <w:gridCol w:w="1395"/>
        <w:gridCol w:w="1485"/>
      </w:tblGrid>
      <w:tr w14:paraId="24F7E8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95" w:type="dxa"/>
            <w:shd w:val="clear" w:color="auto" w:fill="auto"/>
            <w:vAlign w:val="center"/>
          </w:tcPr>
          <w:p w14:paraId="2919B1F6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序号</w:t>
            </w:r>
          </w:p>
        </w:tc>
        <w:tc>
          <w:tcPr>
            <w:tcW w:w="2599" w:type="dxa"/>
            <w:shd w:val="clear" w:color="auto" w:fill="auto"/>
            <w:vAlign w:val="center"/>
          </w:tcPr>
          <w:p w14:paraId="6089BBB0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名称</w:t>
            </w:r>
          </w:p>
        </w:tc>
        <w:tc>
          <w:tcPr>
            <w:tcW w:w="7230" w:type="dxa"/>
            <w:shd w:val="clear" w:color="auto" w:fill="auto"/>
            <w:vAlign w:val="center"/>
          </w:tcPr>
          <w:p w14:paraId="0D7A8DEE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项目名称</w:t>
            </w:r>
          </w:p>
        </w:tc>
        <w:tc>
          <w:tcPr>
            <w:tcW w:w="1174" w:type="dxa"/>
            <w:shd w:val="clear" w:color="auto" w:fill="auto"/>
            <w:vAlign w:val="center"/>
          </w:tcPr>
          <w:p w14:paraId="7D780DBA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主持人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13A4A23"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b/>
                <w:bCs/>
                <w:color w:val="000000" w:themeColor="text1"/>
                <w:kern w:val="0"/>
                <w:sz w:val="24"/>
              </w:rPr>
              <w:t>项目类型</w:t>
            </w:r>
          </w:p>
        </w:tc>
        <w:tc>
          <w:tcPr>
            <w:tcW w:w="1485" w:type="dxa"/>
            <w:shd w:val="clear" w:color="auto" w:fill="auto"/>
            <w:vAlign w:val="center"/>
          </w:tcPr>
          <w:p w14:paraId="03722824">
            <w:pPr>
              <w:widowControl/>
              <w:jc w:val="center"/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 w:themeColor="text1"/>
                <w:kern w:val="0"/>
                <w:sz w:val="24"/>
                <w:lang w:eastAsia="zh-CN"/>
              </w:rPr>
              <w:t>验收结论</w:t>
            </w:r>
          </w:p>
        </w:tc>
      </w:tr>
      <w:tr w14:paraId="3430B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B00EBD5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152A75">
            <w:pPr>
              <w:rPr>
                <w:rFonts w:ascii="仿宋" w:hAnsi="仿宋" w:eastAsia="仿宋" w:cs="仿宋"/>
                <w:b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41120B5F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以临床问题为导向的医学整合实验项目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  <w:lang w:val="en-US" w:eastAsia="zh-CN"/>
              </w:rPr>
              <w:t>研究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与实践</w:t>
            </w:r>
          </w:p>
        </w:tc>
        <w:tc>
          <w:tcPr>
            <w:tcW w:w="1174" w:type="dxa"/>
            <w:vAlign w:val="center"/>
          </w:tcPr>
          <w:p w14:paraId="032CC58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傅娟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C223CB9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D0C6B2B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7B14C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B3526E0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FF5469">
            <w:pPr>
              <w:rPr>
                <w:rFonts w:ascii="仿宋" w:hAnsi="仿宋" w:eastAsia="仿宋" w:cs="仿宋"/>
                <w:b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13ACBF6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融入医学人文的解剖学课程思政探索与实践</w:t>
            </w:r>
          </w:p>
        </w:tc>
        <w:tc>
          <w:tcPr>
            <w:tcW w:w="1174" w:type="dxa"/>
            <w:vAlign w:val="center"/>
          </w:tcPr>
          <w:p w14:paraId="02962901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徐飞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4375104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03A5ED8F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3866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73996C8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89126D">
            <w:pPr>
              <w:rPr>
                <w:rFonts w:ascii="仿宋" w:hAnsi="仿宋" w:eastAsia="仿宋" w:cs="仿宋"/>
                <w:b/>
                <w:bCs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23131A9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“新医科”背景下医学影像学本科创新人才培养模式探索</w:t>
            </w:r>
          </w:p>
        </w:tc>
        <w:tc>
          <w:tcPr>
            <w:tcW w:w="1174" w:type="dxa"/>
            <w:vAlign w:val="center"/>
          </w:tcPr>
          <w:p w14:paraId="2421D9AC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杨蕊梦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0822AD1">
            <w:pPr>
              <w:jc w:val="center"/>
              <w:rPr>
                <w:rFonts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一般项目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1EAD1FF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ED85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5660F9E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0A585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764C318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基于核心素养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临床医学本科生翻转课堂教学模式的优化研究</w:t>
            </w:r>
          </w:p>
        </w:tc>
        <w:tc>
          <w:tcPr>
            <w:tcW w:w="1174" w:type="dxa"/>
            <w:vAlign w:val="center"/>
          </w:tcPr>
          <w:p w14:paraId="6FAD3C59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马为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CA56E96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D8ED7B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C627B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3ACA304">
            <w:pPr>
              <w:widowControl/>
              <w:jc w:val="center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5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69AFE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62292B7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基于肌骨超声系统探索肌肉骨骼疼痛康复的精准化教学模式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研究</w:t>
            </w:r>
          </w:p>
        </w:tc>
        <w:tc>
          <w:tcPr>
            <w:tcW w:w="1174" w:type="dxa"/>
            <w:vAlign w:val="center"/>
          </w:tcPr>
          <w:p w14:paraId="3BF8C3B7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张瑾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0A35A19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77884757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C1464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080B1A1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257FAF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569A52FB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人文滋养在全科医学概论课程教学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中的探索与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实践</w:t>
            </w:r>
          </w:p>
        </w:tc>
        <w:tc>
          <w:tcPr>
            <w:tcW w:w="1174" w:type="dxa"/>
            <w:vAlign w:val="center"/>
          </w:tcPr>
          <w:p w14:paraId="76BC2AAE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shd w:val="clear" w:color="auto" w:fill="FFFFFF"/>
              </w:rPr>
              <w:t>李程亮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FAAEDE8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680C17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终止</w:t>
            </w:r>
          </w:p>
        </w:tc>
      </w:tr>
      <w:tr w14:paraId="3929F5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3025889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CD118C">
            <w:pPr>
              <w:rPr>
                <w:rFonts w:hint="eastAsia" w:ascii="仿宋" w:hAnsi="仿宋" w:eastAsia="仿宋" w:cs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7169ACA9">
            <w:pPr>
              <w:widowControl/>
              <w:jc w:val="left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人工智能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  <w:lang w:val="en-US" w:eastAsia="zh-CN"/>
              </w:rPr>
              <w:t>背景下的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间隔学习对医学临床技能学习的影响研究</w:t>
            </w:r>
          </w:p>
        </w:tc>
        <w:tc>
          <w:tcPr>
            <w:tcW w:w="1174" w:type="dxa"/>
            <w:vAlign w:val="center"/>
          </w:tcPr>
          <w:p w14:paraId="13695F2D">
            <w:pPr>
              <w:widowControl/>
              <w:jc w:val="both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闫新建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38B5A26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D253732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13B2A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4DA2680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41CDB4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1839793D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混合式教学结合翻转课堂在临床技能操作教学中的应用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研究</w:t>
            </w:r>
          </w:p>
        </w:tc>
        <w:tc>
          <w:tcPr>
            <w:tcW w:w="1174" w:type="dxa"/>
            <w:vAlign w:val="center"/>
          </w:tcPr>
          <w:p w14:paraId="43CCDC3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赵振华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CF989BC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F188ECE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203E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14738ACA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B07E04">
            <w:pPr>
              <w:rPr>
                <w:rFonts w:hint="eastAsia" w:ascii="仿宋" w:hAnsi="仿宋" w:eastAsia="仿宋" w:cs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0BD97791">
            <w:pPr>
              <w:widowControl/>
              <w:rPr>
                <w:rFonts w:hint="default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科普创作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应用于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临床教学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的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探索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与实践</w:t>
            </w:r>
          </w:p>
        </w:tc>
        <w:tc>
          <w:tcPr>
            <w:tcW w:w="1174" w:type="dxa"/>
            <w:vAlign w:val="center"/>
          </w:tcPr>
          <w:p w14:paraId="02D5519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刘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帅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57E1717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619D8C2C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F7EFA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7406B1B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10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681202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01DF7496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院、校、企协同提升医学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教学质量的创新模式探索</w:t>
            </w:r>
          </w:p>
        </w:tc>
        <w:tc>
          <w:tcPr>
            <w:tcW w:w="1174" w:type="dxa"/>
            <w:vAlign w:val="center"/>
          </w:tcPr>
          <w:p w14:paraId="1E66F924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蔡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甜</w:t>
            </w:r>
          </w:p>
        </w:tc>
        <w:tc>
          <w:tcPr>
            <w:tcW w:w="139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26ECFDA7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325F1538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0051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95" w:type="dxa"/>
          </w:tcPr>
          <w:p w14:paraId="6134D86D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11</w:t>
            </w:r>
          </w:p>
        </w:tc>
        <w:tc>
          <w:tcPr>
            <w:tcW w:w="2599" w:type="dxa"/>
            <w:vAlign w:val="center"/>
          </w:tcPr>
          <w:p w14:paraId="5128CEC4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医学院</w:t>
            </w:r>
          </w:p>
        </w:tc>
        <w:tc>
          <w:tcPr>
            <w:tcW w:w="7230" w:type="dxa"/>
            <w:vAlign w:val="center"/>
          </w:tcPr>
          <w:p w14:paraId="58427722">
            <w:pPr>
              <w:widowControl/>
              <w:jc w:val="left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CYOA 创新模式在《实验诊断学》实验课程教学中的应用研究</w:t>
            </w:r>
          </w:p>
        </w:tc>
        <w:tc>
          <w:tcPr>
            <w:tcW w:w="1174" w:type="dxa"/>
            <w:vAlign w:val="center"/>
          </w:tcPr>
          <w:p w14:paraId="6BEEFB76">
            <w:pPr>
              <w:widowControl/>
              <w:jc w:val="both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顾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hd w:val="clear" w:color="auto" w:fill="FFFFFF"/>
              </w:rPr>
              <w:t>兵</w:t>
            </w:r>
          </w:p>
        </w:tc>
        <w:tc>
          <w:tcPr>
            <w:tcW w:w="1395" w:type="dxa"/>
            <w:vAlign w:val="center"/>
          </w:tcPr>
          <w:p w14:paraId="2DE27E8E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  <w:t>自筹经费</w:t>
            </w:r>
          </w:p>
        </w:tc>
        <w:tc>
          <w:tcPr>
            <w:tcW w:w="1485" w:type="dxa"/>
            <w:vAlign w:val="center"/>
          </w:tcPr>
          <w:p w14:paraId="653E2B5A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31CDC323">
      <w:pPr>
        <w:rPr>
          <w:rFonts w:hint="eastAsia" w:ascii="仿宋" w:hAnsi="仿宋" w:eastAsia="仿宋" w:cs="仿宋"/>
          <w:color w:val="000000" w:themeColor="text1"/>
          <w:sz w:val="28"/>
        </w:rPr>
      </w:pPr>
      <w:r>
        <w:rPr>
          <w:rFonts w:hint="eastAsia" w:ascii="仿宋" w:hAnsi="仿宋" w:eastAsia="仿宋" w:cs="仿宋"/>
          <w:color w:val="000000" w:themeColor="text1"/>
          <w:sz w:val="28"/>
          <w:lang w:val="en-US" w:eastAsia="zh-CN"/>
        </w:rPr>
        <w:t>（五）</w:t>
      </w:r>
      <w:r>
        <w:rPr>
          <w:rFonts w:hint="eastAsia" w:ascii="仿宋" w:hAnsi="仿宋" w:eastAsia="仿宋" w:cs="仿宋"/>
          <w:color w:val="000000" w:themeColor="text1"/>
          <w:sz w:val="28"/>
        </w:rPr>
        <w:t>委托项目</w:t>
      </w:r>
    </w:p>
    <w:tbl>
      <w:tblPr>
        <w:tblStyle w:val="6"/>
        <w:tblW w:w="528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2550"/>
        <w:gridCol w:w="7289"/>
        <w:gridCol w:w="1170"/>
        <w:gridCol w:w="1395"/>
        <w:gridCol w:w="1485"/>
      </w:tblGrid>
      <w:tr w14:paraId="53CAD7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1132" w:type="dxa"/>
            <w:shd w:val="clear" w:color="auto" w:fill="auto"/>
            <w:vAlign w:val="center"/>
          </w:tcPr>
          <w:p w14:paraId="415D5962">
            <w:pPr>
              <w:jc w:val="center"/>
              <w:rPr>
                <w:rFonts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eastAsia="仿宋"/>
                <w:b/>
                <w:bCs/>
                <w:color w:val="000000" w:themeColor="text1"/>
                <w:sz w:val="24"/>
              </w:rPr>
              <w:t>序号</w:t>
            </w:r>
          </w:p>
        </w:tc>
        <w:tc>
          <w:tcPr>
            <w:tcW w:w="2550" w:type="dxa"/>
            <w:shd w:val="clear" w:color="auto" w:fill="auto"/>
            <w:vAlign w:val="center"/>
          </w:tcPr>
          <w:p w14:paraId="4A965EFF">
            <w:pPr>
              <w:jc w:val="center"/>
              <w:rPr>
                <w:rFonts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eastAsia="仿宋"/>
                <w:b/>
                <w:bCs/>
                <w:color w:val="000000" w:themeColor="text1"/>
                <w:sz w:val="24"/>
              </w:rPr>
              <w:t>名称</w:t>
            </w:r>
          </w:p>
        </w:tc>
        <w:tc>
          <w:tcPr>
            <w:tcW w:w="7289" w:type="dxa"/>
            <w:shd w:val="clear" w:color="auto" w:fill="auto"/>
            <w:vAlign w:val="center"/>
          </w:tcPr>
          <w:p w14:paraId="12E85D0F">
            <w:pPr>
              <w:ind w:firstLine="3132" w:firstLineChars="1300"/>
              <w:rPr>
                <w:rFonts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eastAsia="仿宋"/>
                <w:b/>
                <w:bCs/>
                <w:color w:val="000000" w:themeColor="text1"/>
                <w:sz w:val="24"/>
              </w:rPr>
              <w:t>项目名称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455DADA8">
            <w:pPr>
              <w:jc w:val="center"/>
              <w:rPr>
                <w:rFonts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eastAsia="仿宋"/>
                <w:b/>
                <w:bCs/>
                <w:color w:val="000000" w:themeColor="text1"/>
                <w:sz w:val="24"/>
              </w:rPr>
              <w:t>主持人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17EFB59">
            <w:pPr>
              <w:jc w:val="center"/>
              <w:rPr>
                <w:rFonts w:hint="default" w:eastAsia="仿宋"/>
                <w:b/>
                <w:bCs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eastAsia="仿宋"/>
                <w:b/>
                <w:bCs/>
                <w:color w:val="000000" w:themeColor="text1"/>
                <w:sz w:val="24"/>
                <w:lang w:val="en-US" w:eastAsia="zh-CN"/>
              </w:rPr>
              <w:t>项目类型</w:t>
            </w:r>
          </w:p>
        </w:tc>
        <w:tc>
          <w:tcPr>
            <w:tcW w:w="1485" w:type="dxa"/>
            <w:shd w:val="clear" w:color="auto" w:fill="auto"/>
            <w:vAlign w:val="center"/>
          </w:tcPr>
          <w:p w14:paraId="657DBDFC">
            <w:pPr>
              <w:jc w:val="center"/>
              <w:rPr>
                <w:rFonts w:hint="eastAsia" w:eastAsia="仿宋"/>
                <w:b/>
                <w:bCs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eastAsia="仿宋"/>
                <w:b/>
                <w:bCs/>
                <w:color w:val="000000" w:themeColor="text1"/>
                <w:sz w:val="24"/>
                <w:lang w:val="en-US" w:eastAsia="zh-CN"/>
              </w:rPr>
              <w:t>验收结论</w:t>
            </w:r>
          </w:p>
        </w:tc>
      </w:tr>
      <w:tr w14:paraId="706FF4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32" w:type="dxa"/>
            <w:shd w:val="clear" w:color="auto" w:fill="auto"/>
            <w:vAlign w:val="center"/>
          </w:tcPr>
          <w:p w14:paraId="7B95005E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1</w:t>
            </w: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6D199CBB">
            <w:pPr>
              <w:rPr>
                <w:rFonts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计算机科学与工程学院</w:t>
            </w:r>
          </w:p>
        </w:tc>
        <w:tc>
          <w:tcPr>
            <w:tcW w:w="7289" w:type="dxa"/>
            <w:shd w:val="clear" w:color="auto" w:fill="auto"/>
            <w:vAlign w:val="center"/>
          </w:tcPr>
          <w:p w14:paraId="02147E37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以生为本的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推免系统及成绩单预约打印系统优化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研究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1D4152C5">
            <w:pPr>
              <w:widowControl/>
              <w:rPr>
                <w:rFonts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苏锦钿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593CBAB2">
            <w:pPr>
              <w:widowControl/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  <w:t>委托项目</w:t>
            </w:r>
          </w:p>
        </w:tc>
        <w:tc>
          <w:tcPr>
            <w:tcW w:w="1485" w:type="dxa"/>
            <w:shd w:val="clear" w:color="auto" w:fill="auto"/>
            <w:vAlign w:val="center"/>
          </w:tcPr>
          <w:p w14:paraId="7A37652F"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63A788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132" w:type="dxa"/>
            <w:shd w:val="clear" w:color="auto" w:fill="auto"/>
            <w:vAlign w:val="center"/>
          </w:tcPr>
          <w:p w14:paraId="2EC8E4D1"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2</w:t>
            </w:r>
          </w:p>
        </w:tc>
        <w:tc>
          <w:tcPr>
            <w:tcW w:w="2550" w:type="dxa"/>
            <w:shd w:val="clear" w:color="auto" w:fill="auto"/>
            <w:noWrap/>
            <w:vAlign w:val="center"/>
          </w:tcPr>
          <w:p w14:paraId="34C973CA">
            <w:pPr>
              <w:rPr>
                <w:rFonts w:hint="eastAsia" w:ascii="仿宋" w:hAnsi="仿宋" w:eastAsia="仿宋" w:cs="仿宋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</w:rPr>
              <w:t>外国语学院</w:t>
            </w:r>
          </w:p>
        </w:tc>
        <w:tc>
          <w:tcPr>
            <w:tcW w:w="7289" w:type="dxa"/>
            <w:shd w:val="clear" w:color="auto" w:fill="auto"/>
            <w:vAlign w:val="center"/>
          </w:tcPr>
          <w:p w14:paraId="72B62490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广州国际校区大学英语教学改革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7604F49B">
            <w:pPr>
              <w:widowControl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韩金龙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7DC996F3">
            <w:pPr>
              <w:widowControl/>
              <w:rPr>
                <w:rFonts w:hint="default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  <w:t>委托项目</w:t>
            </w:r>
          </w:p>
        </w:tc>
        <w:tc>
          <w:tcPr>
            <w:tcW w:w="1485" w:type="dxa"/>
            <w:shd w:val="clear" w:color="auto" w:fill="auto"/>
            <w:vAlign w:val="center"/>
          </w:tcPr>
          <w:p w14:paraId="4D6319F7">
            <w:pPr>
              <w:widowControl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5C756931">
      <w:pPr>
        <w:rPr>
          <w:rFonts w:hint="eastAsia" w:ascii="仿宋" w:hAnsi="仿宋" w:eastAsia="仿宋" w:cs="仿宋"/>
          <w:b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</w:rPr>
        <w:t>二、</w:t>
      </w:r>
      <w:r>
        <w:rPr>
          <w:rFonts w:hint="eastAsia" w:ascii="仿宋" w:hAnsi="仿宋" w:eastAsia="仿宋" w:cs="仿宋"/>
          <w:b/>
          <w:sz w:val="30"/>
          <w:szCs w:val="30"/>
          <w:lang w:val="en-US" w:eastAsia="zh-CN"/>
        </w:rPr>
        <w:t>2023年申请</w:t>
      </w:r>
      <w:r>
        <w:rPr>
          <w:rFonts w:hint="eastAsia" w:ascii="仿宋" w:hAnsi="仿宋" w:eastAsia="仿宋" w:cs="仿宋"/>
          <w:b/>
          <w:sz w:val="30"/>
          <w:szCs w:val="30"/>
        </w:rPr>
        <w:t>延期或暂缓通过的</w:t>
      </w:r>
      <w:r>
        <w:rPr>
          <w:rFonts w:hint="eastAsia" w:ascii="仿宋" w:hAnsi="仿宋" w:eastAsia="仿宋" w:cs="仿宋"/>
          <w:b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/>
          <w:sz w:val="30"/>
          <w:szCs w:val="30"/>
        </w:rPr>
        <w:t>20</w:t>
      </w:r>
      <w:r>
        <w:rPr>
          <w:rFonts w:hint="eastAsia" w:ascii="仿宋" w:hAnsi="仿宋" w:eastAsia="仿宋" w:cs="仿宋"/>
          <w:b/>
          <w:sz w:val="30"/>
          <w:szCs w:val="30"/>
          <w:lang w:val="en-US" w:eastAsia="zh-CN"/>
        </w:rPr>
        <w:t>21</w:t>
      </w:r>
      <w:r>
        <w:rPr>
          <w:rFonts w:hint="eastAsia" w:ascii="仿宋" w:hAnsi="仿宋" w:eastAsia="仿宋" w:cs="仿宋"/>
          <w:b/>
          <w:sz w:val="30"/>
          <w:szCs w:val="30"/>
        </w:rPr>
        <w:t>年立项</w:t>
      </w:r>
      <w:r>
        <w:rPr>
          <w:rFonts w:hint="eastAsia" w:ascii="仿宋" w:hAnsi="仿宋" w:eastAsia="仿宋" w:cs="仿宋"/>
          <w:b/>
          <w:sz w:val="30"/>
          <w:szCs w:val="30"/>
          <w:lang w:eastAsia="zh-CN"/>
        </w:rPr>
        <w:t>）本次验收结论</w:t>
      </w:r>
    </w:p>
    <w:p w14:paraId="0BEC0DBF">
      <w:pPr>
        <w:pStyle w:val="12"/>
        <w:numPr>
          <w:ilvl w:val="0"/>
          <w:numId w:val="0"/>
        </w:numPr>
        <w:ind w:leftChars="0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（一）</w:t>
      </w:r>
      <w:r>
        <w:rPr>
          <w:rFonts w:hint="eastAsia" w:ascii="仿宋" w:hAnsi="仿宋" w:eastAsia="仿宋" w:cs="仿宋"/>
          <w:b w:val="0"/>
          <w:bCs/>
          <w:color w:val="000000" w:themeColor="text1"/>
          <w:sz w:val="28"/>
        </w:rPr>
        <w:t>面上项目</w:t>
      </w:r>
    </w:p>
    <w:tbl>
      <w:tblPr>
        <w:tblStyle w:val="6"/>
        <w:tblW w:w="530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2580"/>
        <w:gridCol w:w="7214"/>
        <w:gridCol w:w="1200"/>
        <w:gridCol w:w="1410"/>
        <w:gridCol w:w="1551"/>
      </w:tblGrid>
      <w:tr w14:paraId="3C88C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140" w:type="dxa"/>
            <w:shd w:val="clear" w:color="auto" w:fill="auto"/>
            <w:vAlign w:val="center"/>
          </w:tcPr>
          <w:p w14:paraId="3997107B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580" w:type="dxa"/>
            <w:shd w:val="clear" w:color="auto" w:fill="auto"/>
            <w:vAlign w:val="center"/>
          </w:tcPr>
          <w:p w14:paraId="220D54F4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名称</w:t>
            </w:r>
          </w:p>
        </w:tc>
        <w:tc>
          <w:tcPr>
            <w:tcW w:w="7214" w:type="dxa"/>
            <w:shd w:val="clear" w:color="auto" w:fill="auto"/>
            <w:vAlign w:val="center"/>
          </w:tcPr>
          <w:p w14:paraId="6B002811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项目名称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23D1ACAB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主持人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4701F2F0"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项目类型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273686D0">
            <w:pPr>
              <w:widowControl/>
              <w:jc w:val="center"/>
              <w:rPr>
                <w:rFonts w:hint="default" w:ascii="仿宋" w:hAnsi="仿宋" w:eastAsia="仿宋" w:cs="宋体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  <w:szCs w:val="24"/>
                <w:lang w:eastAsia="zh-CN"/>
              </w:rPr>
              <w:t>验收</w:t>
            </w: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4"/>
                <w:szCs w:val="24"/>
                <w:lang w:val="en-US" w:eastAsia="zh-CN"/>
              </w:rPr>
              <w:t>结论</w:t>
            </w:r>
          </w:p>
        </w:tc>
      </w:tr>
      <w:tr w14:paraId="3096A9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DA539AD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95363B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设计学院</w:t>
            </w:r>
          </w:p>
        </w:tc>
        <w:tc>
          <w:tcPr>
            <w:tcW w:w="7214" w:type="dxa"/>
            <w:vAlign w:val="center"/>
          </w:tcPr>
          <w:p w14:paraId="2E04B2AD">
            <w:pPr>
              <w:snapToGrid w:val="0"/>
              <w:spacing w:before="156" w:beforeLines="50"/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设计基础课程教学模式方法改革探索</w:t>
            </w:r>
          </w:p>
        </w:tc>
        <w:tc>
          <w:tcPr>
            <w:tcW w:w="1200" w:type="dxa"/>
            <w:vAlign w:val="center"/>
          </w:tcPr>
          <w:p w14:paraId="4B5B7797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张君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7F6AF3CD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0C1FCBCB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504A7A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ACE21D9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E00D6B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轻工科学与工程学院</w:t>
            </w:r>
          </w:p>
        </w:tc>
        <w:tc>
          <w:tcPr>
            <w:tcW w:w="7214" w:type="dxa"/>
            <w:vAlign w:val="center"/>
          </w:tcPr>
          <w:p w14:paraId="2595B980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教研相长的《轻化工计算机辅助设计》创新型教学模式探索</w:t>
            </w:r>
          </w:p>
        </w:tc>
        <w:tc>
          <w:tcPr>
            <w:tcW w:w="1200" w:type="dxa"/>
            <w:vAlign w:val="center"/>
          </w:tcPr>
          <w:p w14:paraId="4D96EBCE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徐峻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18CEEF26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3CD3208F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10AC0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7D6D45FE">
            <w:pPr>
              <w:widowControl/>
              <w:jc w:val="center"/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055FCA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生物科学与工程学院</w:t>
            </w:r>
          </w:p>
        </w:tc>
        <w:tc>
          <w:tcPr>
            <w:tcW w:w="7214" w:type="dxa"/>
            <w:vAlign w:val="center"/>
          </w:tcPr>
          <w:p w14:paraId="4C39EC0E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基于大数据的《细胞生物学》教学改革</w:t>
            </w:r>
          </w:p>
        </w:tc>
        <w:tc>
          <w:tcPr>
            <w:tcW w:w="1200" w:type="dxa"/>
            <w:vAlign w:val="center"/>
          </w:tcPr>
          <w:p w14:paraId="0B02F7AB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卓敏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3A7CBEFA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3070AE55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202588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7023FF6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BC3D50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艺术学院</w:t>
            </w:r>
          </w:p>
        </w:tc>
        <w:tc>
          <w:tcPr>
            <w:tcW w:w="7214" w:type="dxa"/>
            <w:vAlign w:val="center"/>
          </w:tcPr>
          <w:p w14:paraId="5ECDE307">
            <w:pPr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岭南传统文化基因的植入——电子音乐课程中创作理论与技术实践的结合与创新</w:t>
            </w:r>
          </w:p>
        </w:tc>
        <w:tc>
          <w:tcPr>
            <w:tcW w:w="1200" w:type="dxa"/>
            <w:vAlign w:val="center"/>
          </w:tcPr>
          <w:p w14:paraId="723585E3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马波</w:t>
            </w:r>
          </w:p>
        </w:tc>
        <w:tc>
          <w:tcPr>
            <w:tcW w:w="1410" w:type="dxa"/>
            <w:shd w:val="clear" w:color="auto" w:fill="auto"/>
            <w:vAlign w:val="center"/>
          </w:tcPr>
          <w:p w14:paraId="56CF2B45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51" w:type="dxa"/>
            <w:shd w:val="clear" w:color="auto" w:fill="auto"/>
            <w:vAlign w:val="center"/>
          </w:tcPr>
          <w:p w14:paraId="3DC20011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4F766A1C">
      <w:pPr>
        <w:pStyle w:val="12"/>
        <w:numPr>
          <w:ilvl w:val="0"/>
          <w:numId w:val="0"/>
        </w:numPr>
        <w:ind w:leftChars="0"/>
        <w:jc w:val="left"/>
        <w:rPr>
          <w:rFonts w:hint="eastAsia" w:ascii="仿宋" w:hAnsi="仿宋" w:eastAsia="仿宋" w:cs="仿宋"/>
          <w:color w:val="000000" w:themeColor="text1"/>
          <w:sz w:val="28"/>
          <w:lang w:eastAsia="zh-CN"/>
        </w:rPr>
      </w:pPr>
    </w:p>
    <w:p w14:paraId="71377C9D">
      <w:pPr>
        <w:pStyle w:val="12"/>
        <w:numPr>
          <w:ilvl w:val="0"/>
          <w:numId w:val="0"/>
        </w:numPr>
        <w:ind w:leftChars="0"/>
        <w:jc w:val="left"/>
        <w:rPr>
          <w:rFonts w:hint="eastAsia" w:ascii="仿宋" w:hAnsi="仿宋" w:eastAsia="仿宋" w:cs="仿宋"/>
          <w:color w:val="000000" w:themeColor="text1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z w:val="28"/>
          <w:lang w:eastAsia="zh-CN"/>
        </w:rPr>
        <w:t>（二）</w:t>
      </w:r>
      <w:r>
        <w:rPr>
          <w:rFonts w:hint="eastAsia" w:ascii="仿宋" w:hAnsi="仿宋" w:eastAsia="仿宋" w:cs="仿宋"/>
          <w:color w:val="000000" w:themeColor="text1"/>
          <w:sz w:val="28"/>
        </w:rPr>
        <w:t>青年专项</w:t>
      </w:r>
    </w:p>
    <w:tbl>
      <w:tblPr>
        <w:tblStyle w:val="6"/>
        <w:tblW w:w="530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"/>
        <w:gridCol w:w="2565"/>
        <w:gridCol w:w="7229"/>
        <w:gridCol w:w="1230"/>
        <w:gridCol w:w="1425"/>
        <w:gridCol w:w="1594"/>
      </w:tblGrid>
      <w:tr w14:paraId="45BDBD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35" w:type="dxa"/>
            <w:shd w:val="clear" w:color="auto" w:fill="auto"/>
            <w:vAlign w:val="center"/>
          </w:tcPr>
          <w:p w14:paraId="2E813625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565" w:type="dxa"/>
            <w:shd w:val="clear" w:color="auto" w:fill="auto"/>
            <w:vAlign w:val="center"/>
          </w:tcPr>
          <w:p w14:paraId="5305E29F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名称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284F2100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项目名称</w:t>
            </w:r>
          </w:p>
        </w:tc>
        <w:tc>
          <w:tcPr>
            <w:tcW w:w="1230" w:type="dxa"/>
            <w:shd w:val="clear" w:color="auto" w:fill="auto"/>
            <w:vAlign w:val="center"/>
          </w:tcPr>
          <w:p w14:paraId="3C210B65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主持人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56253A4E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项目类型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20BD0322">
            <w:pPr>
              <w:ind w:firstLine="241" w:firstLineChars="100"/>
              <w:jc w:val="left"/>
              <w:rPr>
                <w:rFonts w:hint="default" w:ascii="仿宋" w:hAnsi="仿宋" w:eastAsia="仿宋"/>
                <w:b/>
                <w:bCs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  <w:lang w:val="en-US" w:eastAsia="zh-CN"/>
              </w:rPr>
              <w:t>验收结论</w:t>
            </w:r>
          </w:p>
        </w:tc>
      </w:tr>
      <w:tr w14:paraId="2AE1A5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AC2819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80D87F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法学院</w:t>
            </w:r>
          </w:p>
        </w:tc>
        <w:tc>
          <w:tcPr>
            <w:tcW w:w="7229" w:type="dxa"/>
            <w:vAlign w:val="center"/>
          </w:tcPr>
          <w:p w14:paraId="63CE7569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法律卓越人才培养中的全流程案例教学法改革研究</w:t>
            </w:r>
          </w:p>
        </w:tc>
        <w:tc>
          <w:tcPr>
            <w:tcW w:w="1230" w:type="dxa"/>
            <w:vAlign w:val="center"/>
          </w:tcPr>
          <w:p w14:paraId="58F29554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叶竹盛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6650860C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13665A53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700E00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5BF7FB6E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66D0C1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土木与交通学院</w:t>
            </w:r>
          </w:p>
        </w:tc>
        <w:tc>
          <w:tcPr>
            <w:tcW w:w="7229" w:type="dxa"/>
            <w:vAlign w:val="center"/>
          </w:tcPr>
          <w:p w14:paraId="68257497">
            <w:pPr>
              <w:widowControl/>
              <w:jc w:val="left"/>
              <w:rPr>
                <w:rFonts w:ascii="仿宋" w:hAnsi="仿宋" w:eastAsia="仿宋"/>
                <w:color w:val="000000" w:themeColor="text1"/>
                <w:sz w:val="24"/>
                <w:lang w:eastAsia="zh-Hans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Hans"/>
              </w:rPr>
              <w:t>现代数值模拟技术在《钢结构理论》课程教学中的应用</w:t>
            </w:r>
          </w:p>
        </w:tc>
        <w:tc>
          <w:tcPr>
            <w:tcW w:w="1230" w:type="dxa"/>
            <w:vAlign w:val="center"/>
          </w:tcPr>
          <w:p w14:paraId="21A8A8A9">
            <w:pPr>
              <w:widowControl/>
              <w:jc w:val="left"/>
              <w:rPr>
                <w:rFonts w:ascii="仿宋" w:hAnsi="仿宋" w:eastAsia="仿宋"/>
                <w:color w:val="000000" w:themeColor="text1"/>
                <w:sz w:val="24"/>
                <w:lang w:eastAsia="zh-Hans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eastAsia="zh-Hans"/>
              </w:rPr>
              <w:t>胡方鑫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4A1A1764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42C462A4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CEA0E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4A858E64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1FBF5F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化学与化工学院</w:t>
            </w:r>
          </w:p>
        </w:tc>
        <w:tc>
          <w:tcPr>
            <w:tcW w:w="7229" w:type="dxa"/>
            <w:vAlign w:val="center"/>
          </w:tcPr>
          <w:p w14:paraId="27A71879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面向《传热学》的课堂教学创新探索</w:t>
            </w:r>
          </w:p>
        </w:tc>
        <w:tc>
          <w:tcPr>
            <w:tcW w:w="1230" w:type="dxa"/>
            <w:vAlign w:val="center"/>
          </w:tcPr>
          <w:p w14:paraId="5DAA4AD1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陈凯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5AD418F4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3CFE2429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33BCD0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925C085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2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1A7E2D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电力学院</w:t>
            </w:r>
          </w:p>
        </w:tc>
        <w:tc>
          <w:tcPr>
            <w:tcW w:w="7229" w:type="dxa"/>
            <w:vAlign w:val="center"/>
          </w:tcPr>
          <w:p w14:paraId="396B88DC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</w:rPr>
              <w:t>新型电力系统引导下的电力电子实验课程改革与实践</w:t>
            </w:r>
          </w:p>
        </w:tc>
        <w:tc>
          <w:tcPr>
            <w:tcW w:w="1230" w:type="dxa"/>
            <w:vAlign w:val="center"/>
          </w:tcPr>
          <w:p w14:paraId="1D3552F5">
            <w:pPr>
              <w:widowControl/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梁梅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31526BB3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594" w:type="dxa"/>
            <w:shd w:val="clear" w:color="auto" w:fill="auto"/>
            <w:vAlign w:val="center"/>
          </w:tcPr>
          <w:p w14:paraId="5176C6CF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2BCFC98A">
      <w:pPr>
        <w:pStyle w:val="12"/>
        <w:numPr>
          <w:ilvl w:val="0"/>
          <w:numId w:val="0"/>
        </w:numPr>
        <w:jc w:val="left"/>
        <w:rPr>
          <w:rFonts w:hint="eastAsia" w:ascii="仿宋" w:hAnsi="仿宋" w:eastAsia="仿宋" w:cs="仿宋"/>
          <w:color w:val="000000" w:themeColor="text1"/>
          <w:sz w:val="28"/>
          <w:szCs w:val="28"/>
        </w:rPr>
      </w:pPr>
      <w:r>
        <w:rPr>
          <w:rFonts w:hint="eastAsia" w:ascii="仿宋" w:hAnsi="仿宋" w:eastAsia="仿宋" w:cs="仿宋"/>
          <w:color w:val="000000" w:themeColor="text1"/>
          <w:sz w:val="28"/>
          <w:szCs w:val="28"/>
          <w:lang w:eastAsia="zh-CN"/>
        </w:rPr>
        <w:t>（三）</w:t>
      </w:r>
      <w:r>
        <w:rPr>
          <w:rFonts w:hint="eastAsia" w:ascii="仿宋" w:hAnsi="仿宋" w:eastAsia="仿宋" w:cs="仿宋"/>
          <w:color w:val="000000" w:themeColor="text1"/>
          <w:sz w:val="28"/>
          <w:szCs w:val="28"/>
        </w:rPr>
        <w:t>新文科专项</w:t>
      </w:r>
    </w:p>
    <w:tbl>
      <w:tblPr>
        <w:tblStyle w:val="6"/>
        <w:tblW w:w="533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0"/>
        <w:gridCol w:w="2595"/>
        <w:gridCol w:w="7215"/>
        <w:gridCol w:w="1230"/>
        <w:gridCol w:w="1455"/>
        <w:gridCol w:w="1635"/>
      </w:tblGrid>
      <w:tr w14:paraId="4A019A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50" w:type="dxa"/>
            <w:shd w:val="clear" w:color="auto" w:fill="auto"/>
            <w:vAlign w:val="center"/>
          </w:tcPr>
          <w:p w14:paraId="41EF1D06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244EC943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名称</w:t>
            </w:r>
          </w:p>
        </w:tc>
        <w:tc>
          <w:tcPr>
            <w:tcW w:w="7215" w:type="dxa"/>
            <w:shd w:val="clear" w:color="auto" w:fill="auto"/>
            <w:vAlign w:val="center"/>
          </w:tcPr>
          <w:p w14:paraId="58992F6E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项目名称</w:t>
            </w:r>
          </w:p>
        </w:tc>
        <w:tc>
          <w:tcPr>
            <w:tcW w:w="1230" w:type="dxa"/>
            <w:shd w:val="clear" w:color="auto" w:fill="auto"/>
            <w:vAlign w:val="center"/>
          </w:tcPr>
          <w:p w14:paraId="283A196B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</w:rPr>
              <w:t>主持人</w:t>
            </w:r>
          </w:p>
        </w:tc>
        <w:tc>
          <w:tcPr>
            <w:tcW w:w="1455" w:type="dxa"/>
            <w:shd w:val="clear" w:color="auto" w:fill="auto"/>
            <w:vAlign w:val="center"/>
          </w:tcPr>
          <w:p w14:paraId="5B3AADEF"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</w:rPr>
              <w:t>项目类型</w:t>
            </w:r>
          </w:p>
        </w:tc>
        <w:tc>
          <w:tcPr>
            <w:tcW w:w="1635" w:type="dxa"/>
            <w:shd w:val="clear" w:color="auto" w:fill="auto"/>
            <w:vAlign w:val="center"/>
          </w:tcPr>
          <w:p w14:paraId="209A3AED">
            <w:pPr>
              <w:widowControl/>
              <w:ind w:firstLine="241" w:firstLineChars="100"/>
              <w:jc w:val="left"/>
              <w:rPr>
                <w:rFonts w:hint="default" w:ascii="仿宋" w:hAnsi="仿宋" w:eastAsia="仿宋" w:cs="宋体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lang w:val="en-US" w:eastAsia="zh-CN"/>
              </w:rPr>
              <w:t>验收结论</w:t>
            </w:r>
          </w:p>
        </w:tc>
      </w:tr>
      <w:tr w14:paraId="2E53AA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2A0DE0A1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6B3799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经济与金融学院</w:t>
            </w:r>
          </w:p>
        </w:tc>
        <w:tc>
          <w:tcPr>
            <w:tcW w:w="7215" w:type="dxa"/>
            <w:vAlign w:val="center"/>
          </w:tcPr>
          <w:p w14:paraId="0EB937AB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以“四史”教育为契机的经济学类课程思政发展理念研究</w:t>
            </w:r>
          </w:p>
        </w:tc>
        <w:tc>
          <w:tcPr>
            <w:tcW w:w="1230" w:type="dxa"/>
            <w:vAlign w:val="center"/>
          </w:tcPr>
          <w:p w14:paraId="566BD893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陈镇喜</w:t>
            </w:r>
          </w:p>
        </w:tc>
        <w:tc>
          <w:tcPr>
            <w:tcW w:w="145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4BA23C1C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635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 w14:paraId="5C308381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6B033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09C81E5C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67950A">
            <w:pPr>
              <w:jc w:val="lef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  <w:sz w:val="24"/>
              </w:rPr>
              <w:t>电子商务系</w:t>
            </w:r>
          </w:p>
        </w:tc>
        <w:tc>
          <w:tcPr>
            <w:tcW w:w="7215" w:type="dxa"/>
            <w:vAlign w:val="center"/>
          </w:tcPr>
          <w:p w14:paraId="7B7B48D6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物流工程专业改造提升改革与实践</w:t>
            </w:r>
          </w:p>
        </w:tc>
        <w:tc>
          <w:tcPr>
            <w:tcW w:w="1230" w:type="dxa"/>
            <w:vAlign w:val="center"/>
          </w:tcPr>
          <w:p w14:paraId="2B407C57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张智勇</w:t>
            </w:r>
          </w:p>
        </w:tc>
        <w:tc>
          <w:tcPr>
            <w:tcW w:w="1455" w:type="dxa"/>
            <w:shd w:val="clear" w:color="auto" w:fill="auto"/>
            <w:vAlign w:val="center"/>
          </w:tcPr>
          <w:p w14:paraId="1B1ABB72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635" w:type="dxa"/>
            <w:shd w:val="clear" w:color="auto" w:fill="auto"/>
            <w:vAlign w:val="center"/>
          </w:tcPr>
          <w:p w14:paraId="5A0824C0">
            <w:pPr>
              <w:jc w:val="center"/>
              <w:rPr>
                <w:rFonts w:hint="eastAsia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4E4953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tcBorders>
              <w:right w:val="single" w:color="auto" w:sz="4" w:space="0"/>
            </w:tcBorders>
            <w:shd w:val="clear" w:color="auto" w:fill="auto"/>
            <w:vAlign w:val="center"/>
          </w:tcPr>
          <w:p w14:paraId="6E3FFFE2">
            <w:pPr>
              <w:widowControl/>
              <w:jc w:val="center"/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4E40DE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体育学院</w:t>
            </w:r>
          </w:p>
        </w:tc>
        <w:tc>
          <w:tcPr>
            <w:tcW w:w="7215" w:type="dxa"/>
            <w:vAlign w:val="center"/>
          </w:tcPr>
          <w:p w14:paraId="099ECCAC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基于学科</w:t>
            </w:r>
            <w:r>
              <w:rPr>
                <w:rFonts w:ascii="仿宋" w:hAnsi="仿宋" w:eastAsia="仿宋"/>
                <w:sz w:val="24"/>
              </w:rPr>
              <w:t>核心素养</w:t>
            </w:r>
            <w:r>
              <w:rPr>
                <w:rFonts w:hint="eastAsia" w:ascii="仿宋" w:hAnsi="仿宋" w:eastAsia="仿宋"/>
                <w:sz w:val="24"/>
              </w:rPr>
              <w:t>培育</w:t>
            </w:r>
            <w:r>
              <w:rPr>
                <w:rFonts w:ascii="仿宋" w:hAnsi="仿宋" w:eastAsia="仿宋"/>
                <w:sz w:val="24"/>
              </w:rPr>
              <w:t>的大学体育</w:t>
            </w:r>
            <w:r>
              <w:rPr>
                <w:rFonts w:hint="eastAsia" w:ascii="仿宋" w:hAnsi="仿宋" w:eastAsia="仿宋"/>
                <w:sz w:val="24"/>
              </w:rPr>
              <w:t>课程</w:t>
            </w:r>
            <w:r>
              <w:rPr>
                <w:rFonts w:ascii="仿宋" w:hAnsi="仿宋" w:eastAsia="仿宋"/>
                <w:sz w:val="24"/>
              </w:rPr>
              <w:t>模式</w:t>
            </w:r>
            <w:r>
              <w:rPr>
                <w:rFonts w:hint="eastAsia" w:ascii="仿宋" w:hAnsi="仿宋" w:eastAsia="仿宋"/>
                <w:sz w:val="24"/>
              </w:rPr>
              <w:t>创新</w:t>
            </w:r>
            <w:r>
              <w:rPr>
                <w:rFonts w:ascii="仿宋" w:hAnsi="仿宋" w:eastAsia="仿宋"/>
                <w:sz w:val="24"/>
              </w:rPr>
              <w:t>与实践</w:t>
            </w:r>
          </w:p>
        </w:tc>
        <w:tc>
          <w:tcPr>
            <w:tcW w:w="1230" w:type="dxa"/>
            <w:vAlign w:val="center"/>
          </w:tcPr>
          <w:p w14:paraId="322002AA">
            <w:pPr>
              <w:widowControl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唐</w:t>
            </w:r>
            <w:r>
              <w:rPr>
                <w:rFonts w:ascii="仿宋" w:hAnsi="仿宋" w:eastAsia="仿宋" w:cs="宋体"/>
                <w:kern w:val="0"/>
                <w:sz w:val="24"/>
              </w:rPr>
              <w:t>建倦</w:t>
            </w:r>
          </w:p>
        </w:tc>
        <w:tc>
          <w:tcPr>
            <w:tcW w:w="1455" w:type="dxa"/>
            <w:shd w:val="clear" w:color="auto" w:fill="auto"/>
            <w:vAlign w:val="center"/>
          </w:tcPr>
          <w:p w14:paraId="399D8C88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635" w:type="dxa"/>
            <w:shd w:val="clear" w:color="auto" w:fill="auto"/>
            <w:vAlign w:val="center"/>
          </w:tcPr>
          <w:p w14:paraId="0F0780A3">
            <w:pPr>
              <w:jc w:val="center"/>
              <w:rPr>
                <w:rFonts w:hint="default" w:ascii="仿宋" w:hAnsi="仿宋" w:eastAsia="仿宋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5AC47E71">
      <w:pPr>
        <w:jc w:val="left"/>
        <w:rPr>
          <w:rFonts w:hint="eastAsia" w:ascii="仿宋" w:hAnsi="仿宋" w:eastAsia="仿宋" w:cs="仿宋"/>
          <w:color w:val="000000" w:themeColor="text1"/>
          <w:sz w:val="28"/>
        </w:rPr>
      </w:pPr>
      <w:r>
        <w:rPr>
          <w:rFonts w:hint="eastAsia" w:ascii="仿宋" w:hAnsi="仿宋" w:eastAsia="仿宋" w:cs="仿宋"/>
          <w:color w:val="000000" w:themeColor="text1"/>
          <w:sz w:val="28"/>
          <w:lang w:eastAsia="zh-CN"/>
        </w:rPr>
        <w:t>（四）</w:t>
      </w:r>
      <w:r>
        <w:rPr>
          <w:rFonts w:hint="eastAsia" w:ascii="仿宋" w:hAnsi="仿宋" w:eastAsia="仿宋" w:cs="仿宋"/>
          <w:color w:val="000000" w:themeColor="text1"/>
          <w:sz w:val="28"/>
        </w:rPr>
        <w:t>思政专项</w:t>
      </w:r>
    </w:p>
    <w:tbl>
      <w:tblPr>
        <w:tblStyle w:val="6"/>
        <w:tblW w:w="533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"/>
        <w:gridCol w:w="2595"/>
        <w:gridCol w:w="7259"/>
        <w:gridCol w:w="1200"/>
        <w:gridCol w:w="1425"/>
        <w:gridCol w:w="1652"/>
      </w:tblGrid>
      <w:tr w14:paraId="49EF1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035" w:type="dxa"/>
            <w:shd w:val="clear" w:color="auto" w:fill="auto"/>
            <w:vAlign w:val="center"/>
          </w:tcPr>
          <w:p w14:paraId="69E23EE7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序号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2A9DEEA9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</w:rPr>
              <w:t>单位</w:t>
            </w: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名称</w:t>
            </w:r>
          </w:p>
        </w:tc>
        <w:tc>
          <w:tcPr>
            <w:tcW w:w="7260" w:type="dxa"/>
            <w:shd w:val="clear" w:color="auto" w:fill="auto"/>
            <w:vAlign w:val="center"/>
          </w:tcPr>
          <w:p w14:paraId="20B5A75C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项目名称</w:t>
            </w:r>
          </w:p>
        </w:tc>
        <w:tc>
          <w:tcPr>
            <w:tcW w:w="1200" w:type="dxa"/>
            <w:shd w:val="clear" w:color="auto" w:fill="auto"/>
            <w:vAlign w:val="center"/>
          </w:tcPr>
          <w:p w14:paraId="3EAE37CD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主持人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2C0806B3">
            <w:pPr>
              <w:jc w:val="left"/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b/>
                <w:bCs/>
                <w:color w:val="000000" w:themeColor="text1"/>
                <w:sz w:val="24"/>
              </w:rPr>
              <w:t>项目类型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6F19D6D8">
            <w:pPr>
              <w:ind w:firstLine="241" w:firstLineChars="100"/>
              <w:jc w:val="left"/>
              <w:rPr>
                <w:rFonts w:hint="default" w:ascii="仿宋" w:hAnsi="仿宋" w:eastAsia="仿宋"/>
                <w:b/>
                <w:bCs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000000" w:themeColor="text1"/>
                <w:sz w:val="24"/>
                <w:lang w:val="en-US" w:eastAsia="zh-CN"/>
              </w:rPr>
              <w:t>验收结论</w:t>
            </w:r>
          </w:p>
        </w:tc>
      </w:tr>
      <w:tr w14:paraId="1AF8DC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shd w:val="clear" w:color="auto" w:fill="auto"/>
            <w:vAlign w:val="center"/>
          </w:tcPr>
          <w:p w14:paraId="05BC3F3B"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1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E6E84D">
            <w:pPr>
              <w:jc w:val="lef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5010D29A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有“知”有“味”：高校思想政治理论课教学实效性及优化方法研究</w:t>
            </w:r>
          </w:p>
        </w:tc>
        <w:tc>
          <w:tcPr>
            <w:tcW w:w="1200" w:type="dxa"/>
            <w:vAlign w:val="center"/>
          </w:tcPr>
          <w:p w14:paraId="6F75CD7E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李旭辉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47306BA9">
            <w:pPr>
              <w:jc w:val="left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</w:rPr>
              <w:t>重点项目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75038429">
            <w:pPr>
              <w:jc w:val="center"/>
              <w:rPr>
                <w:rFonts w:ascii="仿宋" w:hAnsi="仿宋" w:eastAsia="仿宋"/>
                <w:color w:val="000000" w:themeColor="text1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  <w:tr w14:paraId="0252BA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35" w:type="dxa"/>
            <w:shd w:val="clear" w:color="auto" w:fill="auto"/>
            <w:vAlign w:val="center"/>
          </w:tcPr>
          <w:p w14:paraId="2F93F877">
            <w:pPr>
              <w:jc w:val="center"/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2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1373B4">
            <w:pPr>
              <w:jc w:val="lef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ascii="仿宋" w:hAnsi="仿宋" w:eastAsia="仿宋"/>
                <w:color w:val="000000"/>
                <w:sz w:val="24"/>
              </w:rPr>
              <w:t>马克思主义学院</w:t>
            </w:r>
          </w:p>
        </w:tc>
        <w:tc>
          <w:tcPr>
            <w:tcW w:w="7260" w:type="dxa"/>
            <w:vAlign w:val="center"/>
          </w:tcPr>
          <w:p w14:paraId="36B77180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加强《马克思主义基本原理概论》过程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</w:rPr>
              <w:t>性考核的实践探索</w:t>
            </w:r>
          </w:p>
        </w:tc>
        <w:tc>
          <w:tcPr>
            <w:tcW w:w="1200" w:type="dxa"/>
            <w:vAlign w:val="center"/>
          </w:tcPr>
          <w:p w14:paraId="7C83999E">
            <w:pPr>
              <w:widowControl/>
              <w:jc w:val="left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  <w:t>白新欢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464DF3E3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一般项目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7A99E695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lang w:val="en-US" w:eastAsia="zh-CN"/>
              </w:rPr>
              <w:t>通过</w:t>
            </w:r>
          </w:p>
        </w:tc>
      </w:tr>
    </w:tbl>
    <w:p w14:paraId="0D36DC70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</w:rPr>
      </w:pPr>
    </w:p>
    <w:sectPr>
      <w:pgSz w:w="16838" w:h="11906" w:orient="landscape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创艺简标宋">
    <w:altName w:val="等线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WRiOWRjZDNlYTlmMjUwOTE4ZjM5NzQyOGExYjdmNzYifQ=="/>
  </w:docVars>
  <w:rsids>
    <w:rsidRoot w:val="009204E3"/>
    <w:rsid w:val="0000108C"/>
    <w:rsid w:val="00003227"/>
    <w:rsid w:val="000043CB"/>
    <w:rsid w:val="00005E92"/>
    <w:rsid w:val="00006B48"/>
    <w:rsid w:val="00006C39"/>
    <w:rsid w:val="000179AF"/>
    <w:rsid w:val="0003001E"/>
    <w:rsid w:val="0003195D"/>
    <w:rsid w:val="0003209C"/>
    <w:rsid w:val="0003641A"/>
    <w:rsid w:val="00036E03"/>
    <w:rsid w:val="00040D6C"/>
    <w:rsid w:val="00044D00"/>
    <w:rsid w:val="00045A11"/>
    <w:rsid w:val="00047479"/>
    <w:rsid w:val="0005275C"/>
    <w:rsid w:val="00053EE2"/>
    <w:rsid w:val="000602BF"/>
    <w:rsid w:val="00065D72"/>
    <w:rsid w:val="00066D4A"/>
    <w:rsid w:val="000670BF"/>
    <w:rsid w:val="0007358F"/>
    <w:rsid w:val="00080618"/>
    <w:rsid w:val="00081959"/>
    <w:rsid w:val="00086CAA"/>
    <w:rsid w:val="00091160"/>
    <w:rsid w:val="00092902"/>
    <w:rsid w:val="00092F85"/>
    <w:rsid w:val="00093397"/>
    <w:rsid w:val="00095E3B"/>
    <w:rsid w:val="000A0432"/>
    <w:rsid w:val="000A2DD1"/>
    <w:rsid w:val="000A5109"/>
    <w:rsid w:val="000B1448"/>
    <w:rsid w:val="000C41C8"/>
    <w:rsid w:val="000C7E00"/>
    <w:rsid w:val="000D12C3"/>
    <w:rsid w:val="000D31A1"/>
    <w:rsid w:val="000D4372"/>
    <w:rsid w:val="000D5BD7"/>
    <w:rsid w:val="000F122F"/>
    <w:rsid w:val="000F4852"/>
    <w:rsid w:val="000F63F6"/>
    <w:rsid w:val="000F6CBD"/>
    <w:rsid w:val="000F7376"/>
    <w:rsid w:val="00100CD5"/>
    <w:rsid w:val="00103C1E"/>
    <w:rsid w:val="00105EA5"/>
    <w:rsid w:val="0011088C"/>
    <w:rsid w:val="001133C6"/>
    <w:rsid w:val="00116DFF"/>
    <w:rsid w:val="00125DA6"/>
    <w:rsid w:val="00133095"/>
    <w:rsid w:val="001337B0"/>
    <w:rsid w:val="00142878"/>
    <w:rsid w:val="00142B7E"/>
    <w:rsid w:val="001461DA"/>
    <w:rsid w:val="00154082"/>
    <w:rsid w:val="00155967"/>
    <w:rsid w:val="001573D9"/>
    <w:rsid w:val="00161C76"/>
    <w:rsid w:val="001647F2"/>
    <w:rsid w:val="00165217"/>
    <w:rsid w:val="00165D19"/>
    <w:rsid w:val="00171A75"/>
    <w:rsid w:val="00173340"/>
    <w:rsid w:val="00177198"/>
    <w:rsid w:val="00177530"/>
    <w:rsid w:val="00177744"/>
    <w:rsid w:val="00180430"/>
    <w:rsid w:val="0018223B"/>
    <w:rsid w:val="00187399"/>
    <w:rsid w:val="0019292C"/>
    <w:rsid w:val="00193820"/>
    <w:rsid w:val="001A0198"/>
    <w:rsid w:val="001A3695"/>
    <w:rsid w:val="001A54B0"/>
    <w:rsid w:val="001A69BF"/>
    <w:rsid w:val="001A70EA"/>
    <w:rsid w:val="001B1D0D"/>
    <w:rsid w:val="001D25F7"/>
    <w:rsid w:val="001D350F"/>
    <w:rsid w:val="001E1DC6"/>
    <w:rsid w:val="001E1F72"/>
    <w:rsid w:val="001F558A"/>
    <w:rsid w:val="00202701"/>
    <w:rsid w:val="00203756"/>
    <w:rsid w:val="00205A8B"/>
    <w:rsid w:val="002106B9"/>
    <w:rsid w:val="002225C9"/>
    <w:rsid w:val="002235F0"/>
    <w:rsid w:val="00223B30"/>
    <w:rsid w:val="00230583"/>
    <w:rsid w:val="0023399B"/>
    <w:rsid w:val="002340ED"/>
    <w:rsid w:val="002354DD"/>
    <w:rsid w:val="0023716F"/>
    <w:rsid w:val="0024233C"/>
    <w:rsid w:val="002549FA"/>
    <w:rsid w:val="00260FAD"/>
    <w:rsid w:val="002617C7"/>
    <w:rsid w:val="00262D4D"/>
    <w:rsid w:val="0026579E"/>
    <w:rsid w:val="00274263"/>
    <w:rsid w:val="0028117D"/>
    <w:rsid w:val="00281FAE"/>
    <w:rsid w:val="002864E5"/>
    <w:rsid w:val="0028787F"/>
    <w:rsid w:val="00287C9C"/>
    <w:rsid w:val="00293E57"/>
    <w:rsid w:val="002A4711"/>
    <w:rsid w:val="002A7221"/>
    <w:rsid w:val="002A7B3B"/>
    <w:rsid w:val="002B1882"/>
    <w:rsid w:val="002B2AF5"/>
    <w:rsid w:val="002B6B38"/>
    <w:rsid w:val="002C15D9"/>
    <w:rsid w:val="002C3569"/>
    <w:rsid w:val="002C4C96"/>
    <w:rsid w:val="002C5CEF"/>
    <w:rsid w:val="002D03C8"/>
    <w:rsid w:val="002D2E21"/>
    <w:rsid w:val="002D6B1B"/>
    <w:rsid w:val="002D73AC"/>
    <w:rsid w:val="002E03F6"/>
    <w:rsid w:val="002E05D4"/>
    <w:rsid w:val="002E1AFD"/>
    <w:rsid w:val="002E765F"/>
    <w:rsid w:val="002F13EC"/>
    <w:rsid w:val="002F22E7"/>
    <w:rsid w:val="002F247E"/>
    <w:rsid w:val="002F39CA"/>
    <w:rsid w:val="002F3F69"/>
    <w:rsid w:val="002F4071"/>
    <w:rsid w:val="00302401"/>
    <w:rsid w:val="0030597F"/>
    <w:rsid w:val="00306654"/>
    <w:rsid w:val="00310070"/>
    <w:rsid w:val="003130DA"/>
    <w:rsid w:val="003145FA"/>
    <w:rsid w:val="00316C92"/>
    <w:rsid w:val="00323FE2"/>
    <w:rsid w:val="00331B88"/>
    <w:rsid w:val="00342B29"/>
    <w:rsid w:val="00344C19"/>
    <w:rsid w:val="00345B9B"/>
    <w:rsid w:val="00347B81"/>
    <w:rsid w:val="00347E9F"/>
    <w:rsid w:val="003523CA"/>
    <w:rsid w:val="00352A2C"/>
    <w:rsid w:val="00354AF8"/>
    <w:rsid w:val="00355A6D"/>
    <w:rsid w:val="00357DB0"/>
    <w:rsid w:val="00360CAD"/>
    <w:rsid w:val="00361AFD"/>
    <w:rsid w:val="00361D0A"/>
    <w:rsid w:val="003720C4"/>
    <w:rsid w:val="003732FB"/>
    <w:rsid w:val="003749BF"/>
    <w:rsid w:val="00376D70"/>
    <w:rsid w:val="00377714"/>
    <w:rsid w:val="00381CA0"/>
    <w:rsid w:val="00382A53"/>
    <w:rsid w:val="0038340D"/>
    <w:rsid w:val="00385D9A"/>
    <w:rsid w:val="00396680"/>
    <w:rsid w:val="00397DA1"/>
    <w:rsid w:val="003A303F"/>
    <w:rsid w:val="003B1B8C"/>
    <w:rsid w:val="003B247D"/>
    <w:rsid w:val="003B2826"/>
    <w:rsid w:val="003B396B"/>
    <w:rsid w:val="003C027B"/>
    <w:rsid w:val="003C06FC"/>
    <w:rsid w:val="003C73DA"/>
    <w:rsid w:val="003D2515"/>
    <w:rsid w:val="003E3F9D"/>
    <w:rsid w:val="003E753A"/>
    <w:rsid w:val="003E7BC9"/>
    <w:rsid w:val="003F0F26"/>
    <w:rsid w:val="003F5A49"/>
    <w:rsid w:val="003F7476"/>
    <w:rsid w:val="003F7E57"/>
    <w:rsid w:val="004001F2"/>
    <w:rsid w:val="0040288A"/>
    <w:rsid w:val="0040518F"/>
    <w:rsid w:val="00407579"/>
    <w:rsid w:val="00410C0D"/>
    <w:rsid w:val="004126EC"/>
    <w:rsid w:val="004142B3"/>
    <w:rsid w:val="0041524D"/>
    <w:rsid w:val="00415296"/>
    <w:rsid w:val="004250AF"/>
    <w:rsid w:val="00427C38"/>
    <w:rsid w:val="00430E41"/>
    <w:rsid w:val="00434460"/>
    <w:rsid w:val="00436EED"/>
    <w:rsid w:val="00436FD1"/>
    <w:rsid w:val="0043767D"/>
    <w:rsid w:val="004401F0"/>
    <w:rsid w:val="0044087A"/>
    <w:rsid w:val="00441A10"/>
    <w:rsid w:val="004423AC"/>
    <w:rsid w:val="004504F3"/>
    <w:rsid w:val="00451B6D"/>
    <w:rsid w:val="004556D0"/>
    <w:rsid w:val="00463D14"/>
    <w:rsid w:val="004701C1"/>
    <w:rsid w:val="00477C06"/>
    <w:rsid w:val="00485BFA"/>
    <w:rsid w:val="00494D01"/>
    <w:rsid w:val="00495C68"/>
    <w:rsid w:val="004A0521"/>
    <w:rsid w:val="004A4906"/>
    <w:rsid w:val="004A6060"/>
    <w:rsid w:val="004A7A62"/>
    <w:rsid w:val="004B197A"/>
    <w:rsid w:val="004B26F8"/>
    <w:rsid w:val="004B55F3"/>
    <w:rsid w:val="004B6173"/>
    <w:rsid w:val="004B65AE"/>
    <w:rsid w:val="004B6820"/>
    <w:rsid w:val="004B7E89"/>
    <w:rsid w:val="004B7F9F"/>
    <w:rsid w:val="004C5CED"/>
    <w:rsid w:val="004D5B8E"/>
    <w:rsid w:val="004E59FE"/>
    <w:rsid w:val="004E7607"/>
    <w:rsid w:val="004F7180"/>
    <w:rsid w:val="004F7357"/>
    <w:rsid w:val="00500448"/>
    <w:rsid w:val="00500F83"/>
    <w:rsid w:val="00513BD1"/>
    <w:rsid w:val="0051594F"/>
    <w:rsid w:val="00517834"/>
    <w:rsid w:val="00520755"/>
    <w:rsid w:val="00522861"/>
    <w:rsid w:val="0052407F"/>
    <w:rsid w:val="00524A2B"/>
    <w:rsid w:val="00525DB1"/>
    <w:rsid w:val="00530817"/>
    <w:rsid w:val="005309F9"/>
    <w:rsid w:val="005405D7"/>
    <w:rsid w:val="0054152C"/>
    <w:rsid w:val="00541D43"/>
    <w:rsid w:val="005422BA"/>
    <w:rsid w:val="00544E21"/>
    <w:rsid w:val="00547A41"/>
    <w:rsid w:val="005531EA"/>
    <w:rsid w:val="00554210"/>
    <w:rsid w:val="00557391"/>
    <w:rsid w:val="00557CDD"/>
    <w:rsid w:val="00560834"/>
    <w:rsid w:val="00561604"/>
    <w:rsid w:val="005648E9"/>
    <w:rsid w:val="00564A35"/>
    <w:rsid w:val="00572266"/>
    <w:rsid w:val="00573B7B"/>
    <w:rsid w:val="00574347"/>
    <w:rsid w:val="00577C0F"/>
    <w:rsid w:val="005842BE"/>
    <w:rsid w:val="00584B1C"/>
    <w:rsid w:val="00591D52"/>
    <w:rsid w:val="00593056"/>
    <w:rsid w:val="0059699E"/>
    <w:rsid w:val="00596AE5"/>
    <w:rsid w:val="005A09A9"/>
    <w:rsid w:val="005A33B5"/>
    <w:rsid w:val="005A5C1E"/>
    <w:rsid w:val="005B020B"/>
    <w:rsid w:val="005B0529"/>
    <w:rsid w:val="005B098D"/>
    <w:rsid w:val="005B1558"/>
    <w:rsid w:val="005B1858"/>
    <w:rsid w:val="005B4884"/>
    <w:rsid w:val="005C045B"/>
    <w:rsid w:val="005C07B2"/>
    <w:rsid w:val="005D11A1"/>
    <w:rsid w:val="005D23C9"/>
    <w:rsid w:val="005D35D3"/>
    <w:rsid w:val="005D47EC"/>
    <w:rsid w:val="005D638C"/>
    <w:rsid w:val="005E25DE"/>
    <w:rsid w:val="005E515B"/>
    <w:rsid w:val="005E6D96"/>
    <w:rsid w:val="005F0F96"/>
    <w:rsid w:val="005F296C"/>
    <w:rsid w:val="005F33D2"/>
    <w:rsid w:val="005F3439"/>
    <w:rsid w:val="005F3949"/>
    <w:rsid w:val="005F5CA6"/>
    <w:rsid w:val="00604F17"/>
    <w:rsid w:val="00605343"/>
    <w:rsid w:val="00605A47"/>
    <w:rsid w:val="00611C4C"/>
    <w:rsid w:val="006139F8"/>
    <w:rsid w:val="00616830"/>
    <w:rsid w:val="0062194B"/>
    <w:rsid w:val="00621E73"/>
    <w:rsid w:val="00623A9D"/>
    <w:rsid w:val="006310D9"/>
    <w:rsid w:val="00633530"/>
    <w:rsid w:val="0064051B"/>
    <w:rsid w:val="00642E66"/>
    <w:rsid w:val="006435AC"/>
    <w:rsid w:val="00646810"/>
    <w:rsid w:val="00652B44"/>
    <w:rsid w:val="0065667F"/>
    <w:rsid w:val="00660F88"/>
    <w:rsid w:val="006643EB"/>
    <w:rsid w:val="00667049"/>
    <w:rsid w:val="006706A6"/>
    <w:rsid w:val="0068057E"/>
    <w:rsid w:val="00685091"/>
    <w:rsid w:val="0068700A"/>
    <w:rsid w:val="0069029D"/>
    <w:rsid w:val="00692193"/>
    <w:rsid w:val="006927C2"/>
    <w:rsid w:val="006961CE"/>
    <w:rsid w:val="006A04E1"/>
    <w:rsid w:val="006A47EC"/>
    <w:rsid w:val="006A6BB7"/>
    <w:rsid w:val="006B38F6"/>
    <w:rsid w:val="006C2164"/>
    <w:rsid w:val="006C3867"/>
    <w:rsid w:val="006C4D7F"/>
    <w:rsid w:val="006C5193"/>
    <w:rsid w:val="006D3405"/>
    <w:rsid w:val="006D592D"/>
    <w:rsid w:val="006D7CD1"/>
    <w:rsid w:val="006F0DBC"/>
    <w:rsid w:val="006F3EAA"/>
    <w:rsid w:val="006F43FD"/>
    <w:rsid w:val="006F4ABD"/>
    <w:rsid w:val="006F5197"/>
    <w:rsid w:val="006F552E"/>
    <w:rsid w:val="006F64F3"/>
    <w:rsid w:val="0070094A"/>
    <w:rsid w:val="0070122A"/>
    <w:rsid w:val="00701371"/>
    <w:rsid w:val="0070343E"/>
    <w:rsid w:val="0070632D"/>
    <w:rsid w:val="007166AC"/>
    <w:rsid w:val="00720B3E"/>
    <w:rsid w:val="007229D2"/>
    <w:rsid w:val="00724BF5"/>
    <w:rsid w:val="00726E51"/>
    <w:rsid w:val="007278C4"/>
    <w:rsid w:val="007448B6"/>
    <w:rsid w:val="00746467"/>
    <w:rsid w:val="007465CB"/>
    <w:rsid w:val="00750436"/>
    <w:rsid w:val="007629C3"/>
    <w:rsid w:val="007645ED"/>
    <w:rsid w:val="00773893"/>
    <w:rsid w:val="00774ABC"/>
    <w:rsid w:val="00774B52"/>
    <w:rsid w:val="00782AC9"/>
    <w:rsid w:val="007832FF"/>
    <w:rsid w:val="00783C13"/>
    <w:rsid w:val="007841A2"/>
    <w:rsid w:val="00784CD2"/>
    <w:rsid w:val="007877A6"/>
    <w:rsid w:val="007905CF"/>
    <w:rsid w:val="00790E5E"/>
    <w:rsid w:val="0079462C"/>
    <w:rsid w:val="007951CE"/>
    <w:rsid w:val="00795919"/>
    <w:rsid w:val="007A2043"/>
    <w:rsid w:val="007A3831"/>
    <w:rsid w:val="007A5E32"/>
    <w:rsid w:val="007A7030"/>
    <w:rsid w:val="007B0327"/>
    <w:rsid w:val="007B2173"/>
    <w:rsid w:val="007B30FD"/>
    <w:rsid w:val="007B48DA"/>
    <w:rsid w:val="007B6649"/>
    <w:rsid w:val="007C561F"/>
    <w:rsid w:val="007C6B77"/>
    <w:rsid w:val="007D1A4A"/>
    <w:rsid w:val="007D6A8B"/>
    <w:rsid w:val="007D6F63"/>
    <w:rsid w:val="007D7743"/>
    <w:rsid w:val="007E1466"/>
    <w:rsid w:val="007E16ED"/>
    <w:rsid w:val="007E17BB"/>
    <w:rsid w:val="007E2750"/>
    <w:rsid w:val="007E2968"/>
    <w:rsid w:val="007E5A2F"/>
    <w:rsid w:val="007E73F6"/>
    <w:rsid w:val="007E7FE9"/>
    <w:rsid w:val="007F0726"/>
    <w:rsid w:val="007F1C6A"/>
    <w:rsid w:val="007F216A"/>
    <w:rsid w:val="007F4B86"/>
    <w:rsid w:val="007F50D5"/>
    <w:rsid w:val="008018C8"/>
    <w:rsid w:val="00801D32"/>
    <w:rsid w:val="008060A9"/>
    <w:rsid w:val="00811B03"/>
    <w:rsid w:val="008149DF"/>
    <w:rsid w:val="00814F10"/>
    <w:rsid w:val="008163EC"/>
    <w:rsid w:val="00817D3F"/>
    <w:rsid w:val="0082023B"/>
    <w:rsid w:val="008205F0"/>
    <w:rsid w:val="00820C88"/>
    <w:rsid w:val="008231FF"/>
    <w:rsid w:val="00826A8F"/>
    <w:rsid w:val="00832FAA"/>
    <w:rsid w:val="008431B2"/>
    <w:rsid w:val="00843E75"/>
    <w:rsid w:val="00850195"/>
    <w:rsid w:val="00855AAB"/>
    <w:rsid w:val="00856DD5"/>
    <w:rsid w:val="008576C8"/>
    <w:rsid w:val="0086570C"/>
    <w:rsid w:val="008816B6"/>
    <w:rsid w:val="00885C69"/>
    <w:rsid w:val="00886FC1"/>
    <w:rsid w:val="008872AC"/>
    <w:rsid w:val="0089339E"/>
    <w:rsid w:val="00893ADC"/>
    <w:rsid w:val="00894383"/>
    <w:rsid w:val="008974DB"/>
    <w:rsid w:val="008A12EB"/>
    <w:rsid w:val="008B2CAF"/>
    <w:rsid w:val="008B6058"/>
    <w:rsid w:val="008B640E"/>
    <w:rsid w:val="008B7FBB"/>
    <w:rsid w:val="008C03AB"/>
    <w:rsid w:val="008D056B"/>
    <w:rsid w:val="008D2E33"/>
    <w:rsid w:val="008E2C3C"/>
    <w:rsid w:val="008E3FDA"/>
    <w:rsid w:val="008E75A2"/>
    <w:rsid w:val="008F1AF5"/>
    <w:rsid w:val="00900BF4"/>
    <w:rsid w:val="00906EDD"/>
    <w:rsid w:val="00912B10"/>
    <w:rsid w:val="00912EF0"/>
    <w:rsid w:val="00916EB5"/>
    <w:rsid w:val="009204E3"/>
    <w:rsid w:val="00922242"/>
    <w:rsid w:val="00923F7A"/>
    <w:rsid w:val="00926E59"/>
    <w:rsid w:val="0094274C"/>
    <w:rsid w:val="00943C51"/>
    <w:rsid w:val="00946C4D"/>
    <w:rsid w:val="00956D8D"/>
    <w:rsid w:val="0095775F"/>
    <w:rsid w:val="00970502"/>
    <w:rsid w:val="00970B5D"/>
    <w:rsid w:val="00970FF9"/>
    <w:rsid w:val="0097139F"/>
    <w:rsid w:val="009716B9"/>
    <w:rsid w:val="009764A5"/>
    <w:rsid w:val="009805D3"/>
    <w:rsid w:val="00980B9A"/>
    <w:rsid w:val="00983A7B"/>
    <w:rsid w:val="00984DE4"/>
    <w:rsid w:val="00985C4C"/>
    <w:rsid w:val="0098636C"/>
    <w:rsid w:val="00986FEB"/>
    <w:rsid w:val="009A1754"/>
    <w:rsid w:val="009A22F9"/>
    <w:rsid w:val="009A301F"/>
    <w:rsid w:val="009A3292"/>
    <w:rsid w:val="009B0A4F"/>
    <w:rsid w:val="009B5CEA"/>
    <w:rsid w:val="009B7DB0"/>
    <w:rsid w:val="009C0B6A"/>
    <w:rsid w:val="009C1F58"/>
    <w:rsid w:val="009D27B6"/>
    <w:rsid w:val="009D3DC1"/>
    <w:rsid w:val="009D6918"/>
    <w:rsid w:val="009F4D7D"/>
    <w:rsid w:val="009F75BC"/>
    <w:rsid w:val="00A01201"/>
    <w:rsid w:val="00A03245"/>
    <w:rsid w:val="00A032EC"/>
    <w:rsid w:val="00A03CE8"/>
    <w:rsid w:val="00A03DAC"/>
    <w:rsid w:val="00A05310"/>
    <w:rsid w:val="00A05CB4"/>
    <w:rsid w:val="00A05FCC"/>
    <w:rsid w:val="00A06594"/>
    <w:rsid w:val="00A1068B"/>
    <w:rsid w:val="00A14142"/>
    <w:rsid w:val="00A164C0"/>
    <w:rsid w:val="00A17F96"/>
    <w:rsid w:val="00A21569"/>
    <w:rsid w:val="00A2456D"/>
    <w:rsid w:val="00A27C33"/>
    <w:rsid w:val="00A315F6"/>
    <w:rsid w:val="00A36286"/>
    <w:rsid w:val="00A45E6D"/>
    <w:rsid w:val="00A5063B"/>
    <w:rsid w:val="00A57EFA"/>
    <w:rsid w:val="00A57FB5"/>
    <w:rsid w:val="00A62B8E"/>
    <w:rsid w:val="00A62E77"/>
    <w:rsid w:val="00A64DF9"/>
    <w:rsid w:val="00A6619B"/>
    <w:rsid w:val="00A66F20"/>
    <w:rsid w:val="00A715AD"/>
    <w:rsid w:val="00A716A7"/>
    <w:rsid w:val="00A747F3"/>
    <w:rsid w:val="00A74B18"/>
    <w:rsid w:val="00A75CAB"/>
    <w:rsid w:val="00A7659E"/>
    <w:rsid w:val="00A8113D"/>
    <w:rsid w:val="00A818A9"/>
    <w:rsid w:val="00A9564B"/>
    <w:rsid w:val="00AA0236"/>
    <w:rsid w:val="00AA338D"/>
    <w:rsid w:val="00AA3B1F"/>
    <w:rsid w:val="00AB0AC8"/>
    <w:rsid w:val="00AB241E"/>
    <w:rsid w:val="00AB7747"/>
    <w:rsid w:val="00AC12C4"/>
    <w:rsid w:val="00AC1DE4"/>
    <w:rsid w:val="00AC1F98"/>
    <w:rsid w:val="00AC30F6"/>
    <w:rsid w:val="00AC353A"/>
    <w:rsid w:val="00AC5AB0"/>
    <w:rsid w:val="00AC651D"/>
    <w:rsid w:val="00AD0463"/>
    <w:rsid w:val="00AD34B0"/>
    <w:rsid w:val="00AD48DA"/>
    <w:rsid w:val="00AD4D58"/>
    <w:rsid w:val="00AE0E3B"/>
    <w:rsid w:val="00AE23D3"/>
    <w:rsid w:val="00B06F61"/>
    <w:rsid w:val="00B30544"/>
    <w:rsid w:val="00B31CC4"/>
    <w:rsid w:val="00B34322"/>
    <w:rsid w:val="00B36DB6"/>
    <w:rsid w:val="00B414F0"/>
    <w:rsid w:val="00B43905"/>
    <w:rsid w:val="00B463A7"/>
    <w:rsid w:val="00B54836"/>
    <w:rsid w:val="00B5753D"/>
    <w:rsid w:val="00B601AF"/>
    <w:rsid w:val="00B6222B"/>
    <w:rsid w:val="00B6405E"/>
    <w:rsid w:val="00B6452B"/>
    <w:rsid w:val="00B654C2"/>
    <w:rsid w:val="00B71F80"/>
    <w:rsid w:val="00B73F43"/>
    <w:rsid w:val="00B81A2F"/>
    <w:rsid w:val="00B84CA5"/>
    <w:rsid w:val="00B96E10"/>
    <w:rsid w:val="00B97D3C"/>
    <w:rsid w:val="00BA581F"/>
    <w:rsid w:val="00BA6F78"/>
    <w:rsid w:val="00BC0544"/>
    <w:rsid w:val="00BC1EDF"/>
    <w:rsid w:val="00BC77EC"/>
    <w:rsid w:val="00BD1DFC"/>
    <w:rsid w:val="00BD48E5"/>
    <w:rsid w:val="00BD62DD"/>
    <w:rsid w:val="00BD6CF4"/>
    <w:rsid w:val="00BE3675"/>
    <w:rsid w:val="00BF037A"/>
    <w:rsid w:val="00BF05F9"/>
    <w:rsid w:val="00C00848"/>
    <w:rsid w:val="00C0117D"/>
    <w:rsid w:val="00C01FC6"/>
    <w:rsid w:val="00C05D64"/>
    <w:rsid w:val="00C11E07"/>
    <w:rsid w:val="00C207A6"/>
    <w:rsid w:val="00C21D23"/>
    <w:rsid w:val="00C220A1"/>
    <w:rsid w:val="00C2477E"/>
    <w:rsid w:val="00C26B09"/>
    <w:rsid w:val="00C31807"/>
    <w:rsid w:val="00C325F1"/>
    <w:rsid w:val="00C33FDA"/>
    <w:rsid w:val="00C357C2"/>
    <w:rsid w:val="00C3760A"/>
    <w:rsid w:val="00C41237"/>
    <w:rsid w:val="00C43519"/>
    <w:rsid w:val="00C440F0"/>
    <w:rsid w:val="00C442EC"/>
    <w:rsid w:val="00C4472D"/>
    <w:rsid w:val="00C44793"/>
    <w:rsid w:val="00C45A78"/>
    <w:rsid w:val="00C5001C"/>
    <w:rsid w:val="00C5645A"/>
    <w:rsid w:val="00C60CC2"/>
    <w:rsid w:val="00C610B8"/>
    <w:rsid w:val="00C61407"/>
    <w:rsid w:val="00C62908"/>
    <w:rsid w:val="00C7035E"/>
    <w:rsid w:val="00C72CB4"/>
    <w:rsid w:val="00C80A4D"/>
    <w:rsid w:val="00C8309D"/>
    <w:rsid w:val="00C8485E"/>
    <w:rsid w:val="00C86057"/>
    <w:rsid w:val="00C87807"/>
    <w:rsid w:val="00C90849"/>
    <w:rsid w:val="00C91FAB"/>
    <w:rsid w:val="00C9201B"/>
    <w:rsid w:val="00C92496"/>
    <w:rsid w:val="00C94446"/>
    <w:rsid w:val="00C95368"/>
    <w:rsid w:val="00CA6B9F"/>
    <w:rsid w:val="00CB60A2"/>
    <w:rsid w:val="00CB6B58"/>
    <w:rsid w:val="00CC29A9"/>
    <w:rsid w:val="00CC3698"/>
    <w:rsid w:val="00CC444C"/>
    <w:rsid w:val="00CC6C5E"/>
    <w:rsid w:val="00CD5E9D"/>
    <w:rsid w:val="00CE0C90"/>
    <w:rsid w:val="00CE1F4E"/>
    <w:rsid w:val="00CE73EE"/>
    <w:rsid w:val="00CE7995"/>
    <w:rsid w:val="00CF118B"/>
    <w:rsid w:val="00CF6413"/>
    <w:rsid w:val="00CF7954"/>
    <w:rsid w:val="00D0129A"/>
    <w:rsid w:val="00D01619"/>
    <w:rsid w:val="00D01F35"/>
    <w:rsid w:val="00D0242C"/>
    <w:rsid w:val="00D044A6"/>
    <w:rsid w:val="00D049E9"/>
    <w:rsid w:val="00D05AAD"/>
    <w:rsid w:val="00D05D52"/>
    <w:rsid w:val="00D10507"/>
    <w:rsid w:val="00D12B66"/>
    <w:rsid w:val="00D13AEA"/>
    <w:rsid w:val="00D1466F"/>
    <w:rsid w:val="00D14A36"/>
    <w:rsid w:val="00D17351"/>
    <w:rsid w:val="00D17EF6"/>
    <w:rsid w:val="00D20AC2"/>
    <w:rsid w:val="00D25260"/>
    <w:rsid w:val="00D25476"/>
    <w:rsid w:val="00D26C94"/>
    <w:rsid w:val="00D30F29"/>
    <w:rsid w:val="00D36572"/>
    <w:rsid w:val="00D37598"/>
    <w:rsid w:val="00D41D1A"/>
    <w:rsid w:val="00D51417"/>
    <w:rsid w:val="00D5331D"/>
    <w:rsid w:val="00D6301A"/>
    <w:rsid w:val="00D63E93"/>
    <w:rsid w:val="00D65628"/>
    <w:rsid w:val="00D73965"/>
    <w:rsid w:val="00D73A07"/>
    <w:rsid w:val="00D9221F"/>
    <w:rsid w:val="00D97162"/>
    <w:rsid w:val="00DA2827"/>
    <w:rsid w:val="00DC166D"/>
    <w:rsid w:val="00DC63C5"/>
    <w:rsid w:val="00DD681E"/>
    <w:rsid w:val="00DE4B4A"/>
    <w:rsid w:val="00DF01D2"/>
    <w:rsid w:val="00DF11E9"/>
    <w:rsid w:val="00DF2AEA"/>
    <w:rsid w:val="00DF7535"/>
    <w:rsid w:val="00DF78AA"/>
    <w:rsid w:val="00E057B8"/>
    <w:rsid w:val="00E0636A"/>
    <w:rsid w:val="00E25352"/>
    <w:rsid w:val="00E30685"/>
    <w:rsid w:val="00E36E6D"/>
    <w:rsid w:val="00E37495"/>
    <w:rsid w:val="00E47B9C"/>
    <w:rsid w:val="00E52224"/>
    <w:rsid w:val="00E57203"/>
    <w:rsid w:val="00E6006C"/>
    <w:rsid w:val="00E60152"/>
    <w:rsid w:val="00E6074F"/>
    <w:rsid w:val="00E66072"/>
    <w:rsid w:val="00E6755F"/>
    <w:rsid w:val="00E70E5A"/>
    <w:rsid w:val="00E82478"/>
    <w:rsid w:val="00E83EA0"/>
    <w:rsid w:val="00E8476F"/>
    <w:rsid w:val="00E93CD1"/>
    <w:rsid w:val="00E947A4"/>
    <w:rsid w:val="00EA5666"/>
    <w:rsid w:val="00EB035A"/>
    <w:rsid w:val="00EB109E"/>
    <w:rsid w:val="00EB4997"/>
    <w:rsid w:val="00EB66D5"/>
    <w:rsid w:val="00EC1247"/>
    <w:rsid w:val="00ED1C38"/>
    <w:rsid w:val="00ED1D3B"/>
    <w:rsid w:val="00EE4CB0"/>
    <w:rsid w:val="00EE6B9D"/>
    <w:rsid w:val="00EE75F4"/>
    <w:rsid w:val="00EF01CD"/>
    <w:rsid w:val="00EF3C0D"/>
    <w:rsid w:val="00EF4F47"/>
    <w:rsid w:val="00EF621D"/>
    <w:rsid w:val="00F035BB"/>
    <w:rsid w:val="00F0477D"/>
    <w:rsid w:val="00F069CD"/>
    <w:rsid w:val="00F06A11"/>
    <w:rsid w:val="00F13258"/>
    <w:rsid w:val="00F13CD3"/>
    <w:rsid w:val="00F24C4C"/>
    <w:rsid w:val="00F24E1C"/>
    <w:rsid w:val="00F26D1F"/>
    <w:rsid w:val="00F32648"/>
    <w:rsid w:val="00F371B9"/>
    <w:rsid w:val="00F37F71"/>
    <w:rsid w:val="00F45524"/>
    <w:rsid w:val="00F45F4E"/>
    <w:rsid w:val="00F46D15"/>
    <w:rsid w:val="00F515EF"/>
    <w:rsid w:val="00F5246F"/>
    <w:rsid w:val="00F55BE8"/>
    <w:rsid w:val="00F778BE"/>
    <w:rsid w:val="00F80245"/>
    <w:rsid w:val="00F83AAE"/>
    <w:rsid w:val="00F91A76"/>
    <w:rsid w:val="00F976E4"/>
    <w:rsid w:val="00FA06AA"/>
    <w:rsid w:val="00FA1F37"/>
    <w:rsid w:val="00FA2C83"/>
    <w:rsid w:val="00FA393E"/>
    <w:rsid w:val="00FB52C0"/>
    <w:rsid w:val="00FC6E5A"/>
    <w:rsid w:val="00FD1196"/>
    <w:rsid w:val="00FD557F"/>
    <w:rsid w:val="00FD67F4"/>
    <w:rsid w:val="00FE05E4"/>
    <w:rsid w:val="00FE5000"/>
    <w:rsid w:val="00FF2893"/>
    <w:rsid w:val="03B64756"/>
    <w:rsid w:val="03C30C20"/>
    <w:rsid w:val="04A50EEC"/>
    <w:rsid w:val="06EE06AA"/>
    <w:rsid w:val="079A2C82"/>
    <w:rsid w:val="07FF4E47"/>
    <w:rsid w:val="0AB13EC9"/>
    <w:rsid w:val="0D7A4A46"/>
    <w:rsid w:val="0EB45D35"/>
    <w:rsid w:val="10395190"/>
    <w:rsid w:val="114E421F"/>
    <w:rsid w:val="12072620"/>
    <w:rsid w:val="122136E2"/>
    <w:rsid w:val="12260F49"/>
    <w:rsid w:val="158C17BA"/>
    <w:rsid w:val="172872C1"/>
    <w:rsid w:val="194D74B2"/>
    <w:rsid w:val="19DF45AE"/>
    <w:rsid w:val="1A5959E3"/>
    <w:rsid w:val="1EA54CB6"/>
    <w:rsid w:val="1FCC29C7"/>
    <w:rsid w:val="20452C91"/>
    <w:rsid w:val="21A04AB9"/>
    <w:rsid w:val="23046E34"/>
    <w:rsid w:val="23AC3027"/>
    <w:rsid w:val="23D22A8E"/>
    <w:rsid w:val="250A26FB"/>
    <w:rsid w:val="26600825"/>
    <w:rsid w:val="27561C28"/>
    <w:rsid w:val="27AE3812"/>
    <w:rsid w:val="28346DCF"/>
    <w:rsid w:val="2903193C"/>
    <w:rsid w:val="29371CFA"/>
    <w:rsid w:val="2C5A1872"/>
    <w:rsid w:val="2D7B5F44"/>
    <w:rsid w:val="2D9B623D"/>
    <w:rsid w:val="2E496043"/>
    <w:rsid w:val="2E5D72D4"/>
    <w:rsid w:val="2ED753FC"/>
    <w:rsid w:val="31010CDB"/>
    <w:rsid w:val="320B18F6"/>
    <w:rsid w:val="32C5695E"/>
    <w:rsid w:val="33D12D62"/>
    <w:rsid w:val="34256C0A"/>
    <w:rsid w:val="348B086F"/>
    <w:rsid w:val="34BB57A1"/>
    <w:rsid w:val="34D83C7C"/>
    <w:rsid w:val="379C3687"/>
    <w:rsid w:val="389820A0"/>
    <w:rsid w:val="3A346B4B"/>
    <w:rsid w:val="3A69012D"/>
    <w:rsid w:val="3CFA5BD5"/>
    <w:rsid w:val="3D323E6D"/>
    <w:rsid w:val="3E984A13"/>
    <w:rsid w:val="3F50703F"/>
    <w:rsid w:val="40844CB8"/>
    <w:rsid w:val="40D43E92"/>
    <w:rsid w:val="40E73F05"/>
    <w:rsid w:val="41C37B2C"/>
    <w:rsid w:val="42204EB5"/>
    <w:rsid w:val="4229072A"/>
    <w:rsid w:val="42402E61"/>
    <w:rsid w:val="43006546"/>
    <w:rsid w:val="43C964C9"/>
    <w:rsid w:val="447D65EE"/>
    <w:rsid w:val="44E93C84"/>
    <w:rsid w:val="45F87E2E"/>
    <w:rsid w:val="461D1B1E"/>
    <w:rsid w:val="46492C2C"/>
    <w:rsid w:val="46603AD2"/>
    <w:rsid w:val="47071753"/>
    <w:rsid w:val="4AF87973"/>
    <w:rsid w:val="4B481704"/>
    <w:rsid w:val="4BC46420"/>
    <w:rsid w:val="4BF47196"/>
    <w:rsid w:val="4C0F5D7E"/>
    <w:rsid w:val="4C3D1F0A"/>
    <w:rsid w:val="4D861753"/>
    <w:rsid w:val="4E724CEA"/>
    <w:rsid w:val="4EE5726A"/>
    <w:rsid w:val="4F8E16AF"/>
    <w:rsid w:val="50792360"/>
    <w:rsid w:val="5151508A"/>
    <w:rsid w:val="51976CDE"/>
    <w:rsid w:val="54907C78"/>
    <w:rsid w:val="555273D7"/>
    <w:rsid w:val="55B47800"/>
    <w:rsid w:val="56834170"/>
    <w:rsid w:val="56BA0FDC"/>
    <w:rsid w:val="572A032B"/>
    <w:rsid w:val="5AFB1921"/>
    <w:rsid w:val="5B4A5024"/>
    <w:rsid w:val="5C774A1D"/>
    <w:rsid w:val="604F05EC"/>
    <w:rsid w:val="61076818"/>
    <w:rsid w:val="652A1A23"/>
    <w:rsid w:val="66D02156"/>
    <w:rsid w:val="673030DE"/>
    <w:rsid w:val="677376B1"/>
    <w:rsid w:val="67E1286C"/>
    <w:rsid w:val="68550E3C"/>
    <w:rsid w:val="685F3791"/>
    <w:rsid w:val="699C1669"/>
    <w:rsid w:val="6B2D5908"/>
    <w:rsid w:val="6BFA6D45"/>
    <w:rsid w:val="6CB71DEE"/>
    <w:rsid w:val="6D9914F3"/>
    <w:rsid w:val="6E0A20F0"/>
    <w:rsid w:val="6EF94940"/>
    <w:rsid w:val="703D6AAE"/>
    <w:rsid w:val="711041C2"/>
    <w:rsid w:val="71DE606F"/>
    <w:rsid w:val="73125FD0"/>
    <w:rsid w:val="73AD5CF9"/>
    <w:rsid w:val="74213FF1"/>
    <w:rsid w:val="74B11819"/>
    <w:rsid w:val="76684159"/>
    <w:rsid w:val="76761669"/>
    <w:rsid w:val="77300C68"/>
    <w:rsid w:val="789143F5"/>
    <w:rsid w:val="78992CEF"/>
    <w:rsid w:val="78B6455B"/>
    <w:rsid w:val="792C3B64"/>
    <w:rsid w:val="7AE051F2"/>
    <w:rsid w:val="7B9D48A5"/>
    <w:rsid w:val="7BE52D8E"/>
    <w:rsid w:val="7C3C0AA2"/>
    <w:rsid w:val="7C3F1B37"/>
    <w:rsid w:val="7CA059A5"/>
    <w:rsid w:val="7CE13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 w:line="500" w:lineRule="exact"/>
      <w:jc w:val="left"/>
    </w:pPr>
    <w:rPr>
      <w:rFonts w:ascii="宋体" w:hAnsi="宋体" w:cs="宋体"/>
      <w:kern w:val="0"/>
      <w:sz w:val="24"/>
    </w:rPr>
  </w:style>
  <w:style w:type="character" w:styleId="8">
    <w:name w:val="Hyperlink"/>
    <w:unhideWhenUsed/>
    <w:qFormat/>
    <w:uiPriority w:val="99"/>
    <w:rPr>
      <w:color w:val="0000FF" w:themeColor="hyperlink"/>
      <w:u w:val="single"/>
    </w:rPr>
  </w:style>
  <w:style w:type="character" w:customStyle="1" w:styleId="9">
    <w:name w:val="页眉 Char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标题 2 Char"/>
    <w:basedOn w:val="7"/>
    <w:link w:val="2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11</Pages>
  <Words>4973</Words>
  <Characters>5105</Characters>
  <Lines>25</Lines>
  <Paragraphs>7</Paragraphs>
  <TotalTime>15</TotalTime>
  <ScaleCrop>false</ScaleCrop>
  <LinksUpToDate>false</LinksUpToDate>
  <CharactersWithSpaces>5149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2016-04-06T02:42:00Z</dcterms:created>
  <dc:creator>User</dc:creator>
  <cp:lastModifiedBy>东方之珠</cp:lastModifiedBy>
  <cp:lastPrinted>2024-11-26T07:07:00Z</cp:lastPrinted>
  <dcterms:modified xsi:type="dcterms:W3CDTF">2024-12-16T09:04:56Z</dcterms:modified>
  <cp:revision>301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C090716681B4480CB37FB7566C682D2F</vt:lpwstr>
  </property>
</Properties>
</file>