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047CCC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仿宋" w:hAnsi="仿宋" w:eastAsia="仿宋" w:cs="仿宋"/>
          <w:sz w:val="28"/>
          <w:szCs w:val="28"/>
        </w:rPr>
      </w:pP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附件1：</w:t>
      </w:r>
    </w:p>
    <w:p w14:paraId="41821068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华南理工大学国家卓越工程师学院</w:t>
      </w:r>
    </w:p>
    <w:p w14:paraId="381ADC49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2025年博士招生双向选择表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2118"/>
        <w:gridCol w:w="2268"/>
        <w:gridCol w:w="3168"/>
      </w:tblGrid>
      <w:tr w14:paraId="6E110E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0340896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118" w:type="dxa"/>
            <w:vAlign w:val="center"/>
          </w:tcPr>
          <w:p w14:paraId="3C479CC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14:paraId="2534FA7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168" w:type="dxa"/>
            <w:vAlign w:val="center"/>
          </w:tcPr>
          <w:p w14:paraId="73BAFA12">
            <w:pPr>
              <w:jc w:val="center"/>
              <w:rPr>
                <w:sz w:val="28"/>
                <w:szCs w:val="28"/>
              </w:rPr>
            </w:pPr>
          </w:p>
        </w:tc>
      </w:tr>
      <w:tr w14:paraId="76A452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46C18A6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2118" w:type="dxa"/>
            <w:vAlign w:val="center"/>
          </w:tcPr>
          <w:p w14:paraId="43BF1C9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14:paraId="1EC1BDA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拟录取类别</w:t>
            </w:r>
          </w:p>
          <w:p w14:paraId="6B3B0E3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（同报考类别）</w:t>
            </w:r>
          </w:p>
        </w:tc>
        <w:tc>
          <w:tcPr>
            <w:tcW w:w="3167" w:type="dxa"/>
            <w:vAlign w:val="center"/>
          </w:tcPr>
          <w:p w14:paraId="5FE61223"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>非定向</w:t>
            </w:r>
          </w:p>
          <w:p w14:paraId="34F1353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>定向</w:t>
            </w:r>
          </w:p>
        </w:tc>
      </w:tr>
      <w:tr w14:paraId="70784F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6F6FB51A">
            <w:pPr>
              <w:jc w:val="center"/>
              <w:rPr>
                <w:rFonts w:hint="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32"/>
              </w:rPr>
              <w:t>报考</w:t>
            </w:r>
            <w:r>
              <w:rPr>
                <w:rFonts w:hint="eastAsia"/>
                <w:sz w:val="28"/>
                <w:szCs w:val="32"/>
                <w:lang w:val="en-US" w:eastAsia="zh-CN"/>
              </w:rPr>
              <w:t>方向</w:t>
            </w:r>
          </w:p>
        </w:tc>
        <w:tc>
          <w:tcPr>
            <w:tcW w:w="7554" w:type="dxa"/>
            <w:gridSpan w:val="3"/>
            <w:vAlign w:val="center"/>
          </w:tcPr>
          <w:p w14:paraId="7EBACEB2">
            <w:pPr>
              <w:jc w:val="center"/>
              <w:rPr>
                <w:rFonts w:hint="default" w:eastAsiaTheme="minorEastAsia"/>
                <w:sz w:val="24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超级机器人“珠峰班”</w:t>
            </w:r>
          </w:p>
        </w:tc>
      </w:tr>
      <w:tr w14:paraId="27E503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648D2DF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复试总成绩</w:t>
            </w:r>
          </w:p>
        </w:tc>
        <w:tc>
          <w:tcPr>
            <w:tcW w:w="7554" w:type="dxa"/>
            <w:gridSpan w:val="3"/>
            <w:vAlign w:val="center"/>
          </w:tcPr>
          <w:p w14:paraId="1B266CC0">
            <w:pPr>
              <w:jc w:val="center"/>
              <w:rPr>
                <w:sz w:val="28"/>
                <w:szCs w:val="28"/>
              </w:rPr>
            </w:pPr>
          </w:p>
        </w:tc>
      </w:tr>
      <w:tr w14:paraId="55CE6C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0" w:hRule="atLeast"/>
          <w:jc w:val="center"/>
        </w:trPr>
        <w:tc>
          <w:tcPr>
            <w:tcW w:w="9259" w:type="dxa"/>
            <w:gridSpan w:val="4"/>
            <w:vAlign w:val="center"/>
          </w:tcPr>
          <w:p w14:paraId="2AE48B4F">
            <w:pPr>
              <w:spacing w:before="312" w:beforeLines="10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 w14:paraId="08656298">
            <w:pPr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6EF0CA2D">
            <w:pPr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 w14:paraId="2E724651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  日</w:t>
            </w:r>
          </w:p>
        </w:tc>
      </w:tr>
      <w:tr w14:paraId="4914A5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3" w:hRule="atLeast"/>
          <w:jc w:val="center"/>
        </w:trPr>
        <w:tc>
          <w:tcPr>
            <w:tcW w:w="9259" w:type="dxa"/>
            <w:gridSpan w:val="4"/>
            <w:vAlign w:val="center"/>
          </w:tcPr>
          <w:p w14:paraId="58136986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 w14:paraId="6DA8D510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同意接收。   </w:t>
            </w:r>
          </w:p>
          <w:p w14:paraId="455C815E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 w14:paraId="48F2095A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  日</w:t>
            </w:r>
          </w:p>
        </w:tc>
      </w:tr>
    </w:tbl>
    <w:p w14:paraId="7E30A06F">
      <w:pPr>
        <w:spacing w:line="240" w:lineRule="atLeast"/>
        <w:ind w:right="140"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备注：志愿书一旦提交，将不再接受考生提出的各类调剂要求，除非事后发现有不符合博士生复试录取相关要求。</w:t>
      </w:r>
    </w:p>
    <w:p w14:paraId="5B115C7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4A549F"/>
    <w:rsid w:val="0D2F019B"/>
    <w:rsid w:val="2C4A5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212</Words>
  <Characters>221</Characters>
  <Lines>0</Lines>
  <Paragraphs>0</Paragraphs>
  <TotalTime>0</TotalTime>
  <ScaleCrop>false</ScaleCrop>
  <LinksUpToDate>false</LinksUpToDate>
  <CharactersWithSpaces>317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2025-06-06T02:00:00Z</dcterms:created>
  <dc:creator>汤倩华</dc:creator>
  <cp:lastModifiedBy>巴普洛夫的狗</cp:lastModifiedBy>
  <dcterms:modified xsi:type="dcterms:W3CDTF">2025-06-06T03:50:43Z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8762C6B7848C440C95B5E58F28B565F9_13</vt:lpwstr>
  </property>
  <property fmtid="{D5CDD505-2E9C-101B-9397-08002B2CF9AE}" pid="4" name="KSOTemplateDocerSaveRecord">
    <vt:lpwstr>eyJoZGlkIjoiNDY0NmUyYWJmNGNiZWVlZGE1OTdlNWMxMzMxYzUyNjUifQ==</vt:lpwstr>
  </property>
</Properties>
</file>