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332" w:rsidRPr="000B7332" w:rsidRDefault="000B7332" w:rsidP="00270A63">
      <w:pPr>
        <w:spacing w:afterLines="100" w:after="312" w:line="340" w:lineRule="exact"/>
        <w:jc w:val="center"/>
        <w:rPr>
          <w:rFonts w:ascii="创艺简标宋" w:eastAsia="创艺简标宋" w:hAnsi="创艺简标宋" w:cs="创艺简标宋"/>
          <w:sz w:val="36"/>
          <w:szCs w:val="36"/>
        </w:rPr>
      </w:pPr>
      <w:r w:rsidRPr="000B7332">
        <w:rPr>
          <w:rFonts w:ascii="创艺简标宋" w:eastAsia="创艺简标宋" w:hAnsi="创艺简标宋" w:cs="创艺简标宋" w:hint="eastAsia"/>
          <w:sz w:val="36"/>
          <w:szCs w:val="36"/>
        </w:rPr>
        <w:t>华南理工大学研究生转学工作实施细则</w:t>
      </w:r>
    </w:p>
    <w:p w:rsidR="005C69FA" w:rsidRPr="00270A63" w:rsidRDefault="000B7332" w:rsidP="00270A63">
      <w:pPr>
        <w:spacing w:afterLines="100" w:after="312" w:line="340" w:lineRule="exact"/>
        <w:jc w:val="center"/>
        <w:rPr>
          <w:rFonts w:ascii="创艺简标宋" w:eastAsia="创艺简标宋" w:hAnsi="创艺简标宋" w:cs="创艺简标宋"/>
          <w:sz w:val="32"/>
          <w:szCs w:val="36"/>
        </w:rPr>
      </w:pPr>
      <w:r w:rsidRPr="00270A63">
        <w:rPr>
          <w:rFonts w:ascii="创艺简标宋" w:eastAsia="创艺简标宋" w:hAnsi="创艺简标宋" w:cs="创艺简标宋" w:hint="eastAsia"/>
          <w:sz w:val="32"/>
          <w:szCs w:val="36"/>
        </w:rPr>
        <w:t>（20</w:t>
      </w:r>
      <w:r w:rsidR="004A29B4" w:rsidRPr="00270A63">
        <w:rPr>
          <w:rFonts w:ascii="创艺简标宋" w:eastAsia="创艺简标宋" w:hAnsi="创艺简标宋" w:cs="创艺简标宋" w:hint="eastAsia"/>
          <w:sz w:val="32"/>
          <w:szCs w:val="36"/>
        </w:rPr>
        <w:t>20</w:t>
      </w:r>
      <w:r w:rsidRPr="00270A63">
        <w:rPr>
          <w:rFonts w:ascii="创艺简标宋" w:eastAsia="创艺简标宋" w:hAnsi="创艺简标宋" w:cs="创艺简标宋" w:hint="eastAsia"/>
          <w:sz w:val="32"/>
          <w:szCs w:val="36"/>
        </w:rPr>
        <w:t>年修订）</w:t>
      </w:r>
    </w:p>
    <w:p w:rsidR="000B7332" w:rsidRPr="00270A63" w:rsidRDefault="000B7332" w:rsidP="00270A63">
      <w:pPr>
        <w:rPr>
          <w:sz w:val="32"/>
          <w:szCs w:val="32"/>
        </w:rPr>
      </w:pP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为深入贯彻《普通高等学校学生管理规定》</w:t>
      </w:r>
      <w:r w:rsidR="00A17A3F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</w:t>
      </w:r>
      <w:proofErr w:type="gramStart"/>
      <w:r w:rsidR="00A17A3F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教育部令第</w:t>
      </w:r>
      <w:proofErr w:type="gramEnd"/>
      <w:r w:rsidR="00A17A3F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 xml:space="preserve"> 41 号）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精神，进一步规范我校研究生转学工作，根据《教育部办公厅关于进一步规范普通高等学校转学工作的通知》</w:t>
      </w:r>
      <w:r w:rsidR="00A17A3F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（教学厅〔2015〕4 号）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，结合我校实际，特制定本实施细则。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b/>
          <w:sz w:val="32"/>
          <w:szCs w:val="32"/>
          <w:lang w:val="zh-CN"/>
        </w:rPr>
        <w:t>一、研究生转校外培养单位条件及程序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（一）申请条件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研究生一般应在我校完成学业。因患病或者有特殊困难、特别需要，无法继续在我校学习的，可申请转学。其中患病研究生需提供我校指定医院出具的身体健康状况证明；特殊困难一般指因家庭有特殊情况，确需研究生本人就近照顾的情况。拟转校外培养单位应与我校层次、类型、学科专业水平相当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研究生有下列情形之一，不得申请转出我校：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1.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入学未满一学期或者毕业前一年的；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2.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由低学历层次转为高学历层次的；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3.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通过定向就业等特殊招生形式录取的；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4.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拟转入学校、专业的录取控制标准高于我校的；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5.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应</w:t>
      </w:r>
      <w:proofErr w:type="gramStart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予退</w:t>
      </w:r>
      <w:proofErr w:type="gramEnd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学的；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lastRenderedPageBreak/>
        <w:t>6.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无正当转学理由的。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（二）申请程序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1.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研究生本人向所在院</w:t>
      </w:r>
      <w:r w:rsidR="004A29B4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（系）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提交转学书面申请和相应证明材料；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2.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经导师或导师组、院</w:t>
      </w:r>
      <w:r w:rsidR="004A29B4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（系）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党政联席会议讨论同意，将同意转出研究生名单和表决情况如实记入会议纪要；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3.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研究生院严格审核研究生转学条件及相关证明，确属因患病或特殊困难无法继续在我校学习的，报学校校长办公会或者专题会议研究决定，将同意转出的研究生名单和表决情况如实记入会议纪要；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4. 对拟转出研究生信息通过我校办公信息平台进行不少于5个工作日的公示。公示信息包括但不限于研究生姓名、拟转入学校和专业名称、入学年份、录取分数、拟转入学校转入专业当年录取分数、转学理由等；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5.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公示无异议后，同意转出。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b/>
          <w:sz w:val="32"/>
          <w:szCs w:val="32"/>
          <w:lang w:val="zh-CN"/>
        </w:rPr>
        <w:t>二、接收校外培养单位研究生转学的条件及程序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（一）申请条件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我校原则上不接收外单位转学研究生。因患病或者有特殊困难、特别需要，无法继续在原录取单位学习的，可考虑予以接收。其中患病研究生需提供我校指定医院出具的身体健康状况证明；特殊困难一般指因家庭有特殊情况，确需研究生本人就近照顾的情况。予以接收的研究生原培养单位应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lastRenderedPageBreak/>
        <w:t>与我校层次、类型、学科专业水平相当。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研究生有下列情形之一，我校不予以接收：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1.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在原培养单位入学未满一学期或者毕业前一年的；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2.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由低学历层次转为高学历层次的；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3.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通过定向就业等特殊招生形式录取的；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4.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原培养单</w:t>
      </w:r>
      <w:bookmarkStart w:id="0" w:name="_GoBack"/>
      <w:bookmarkEnd w:id="0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位、专业的录取控制标准低于我校的；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5.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原培养单位在广州市的；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6.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跨学科门类的；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7.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应</w:t>
      </w:r>
      <w:proofErr w:type="gramStart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予退</w:t>
      </w:r>
      <w:proofErr w:type="gramEnd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学的；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8.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无正当转学理由的。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（二）申请程序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1.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研究生本人向我校研究生院提交转学书面申请和相关证明材料；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2.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研究生院严格审核原培养单位同意转出的审批意见、研究生转学条件及相关证明，认为符合学校培养要求</w:t>
      </w:r>
      <w:proofErr w:type="gramStart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且学校</w:t>
      </w:r>
      <w:proofErr w:type="gramEnd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有培养能力的，经学校招生工作领导小组同意，参加我校学位评定委员会组织的专业考核或学业水平评估；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3.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专业考核或学业水平评估合格后，</w:t>
      </w:r>
      <w:proofErr w:type="gramStart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经拟转入</w:t>
      </w:r>
      <w:proofErr w:type="gramEnd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专业导师或导师组、院</w:t>
      </w:r>
      <w:r w:rsidR="004A29B4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（系）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党政联席会议讨论同意，拟同意转入的研究生名单和表决情况如实记入会议纪要；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4.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报学校校长办公会或者专题会议研究决定，拟同意接收的研究生名单和表决情况如实记入会议纪要；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lastRenderedPageBreak/>
        <w:t>5.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对拟转入研究生信息通过我校办公信息平台进行不少于5个工作日的公示。公示信息包括但不限于研究生姓名、转出学校和转出专业名称、入学年份、录取分数、拟转入我校专业当年录取分数、转学理由等；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6.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ab/>
        <w:t>公示无异议后，由校长签署接收函。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b/>
          <w:sz w:val="32"/>
          <w:szCs w:val="32"/>
          <w:lang w:val="zh-CN"/>
        </w:rPr>
        <w:t>三、其他事项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 xml:space="preserve">（一）学校在接收校外培养单位研究生转学完成后 3 </w:t>
      </w:r>
      <w:proofErr w:type="gramStart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个</w:t>
      </w:r>
      <w:proofErr w:type="gramEnd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月内将《广东省普通高校学生转学备案表》并附上相关证明材料一式四份，除学校留存外，报广东省教育行政部门备案，转出我校的，不需向广东省教育行政部门备案。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（二）未办理备案手续的，拟转入研究生不得提前到我校就读，拟转出研究生也不得提前到拟转入学校就读。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三）研究生提供虚假材料的，一经查实，立即取消其转学资格，依据情节轻重，给予相应处分。我校经办人员在办理过程中弄虚作假的，由学校纪监办公室按规定处理。因违规行为造成严重后果和恶劣影响的，除追究直接责任人责任外，还将根据领导干部问</w:t>
      </w:r>
      <w:proofErr w:type="gramStart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责相关</w:t>
      </w:r>
      <w:proofErr w:type="gramEnd"/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规定，追究相关领导责任。涉嫌犯罪的，移交司法机关处理。</w:t>
      </w:r>
    </w:p>
    <w:p w:rsidR="000B7332" w:rsidRPr="00270A63" w:rsidRDefault="000B7332" w:rsidP="00270A63">
      <w:pPr>
        <w:pStyle w:val="a3"/>
        <w:autoSpaceDE w:val="0"/>
        <w:autoSpaceDN w:val="0"/>
        <w:ind w:firstLineChars="200" w:firstLine="640"/>
        <w:rPr>
          <w:rFonts w:ascii="仿宋_GB2312" w:eastAsia="仿宋_GB2312" w:hAnsi="仿宋_GB2312" w:cs="仿宋_GB2312"/>
          <w:sz w:val="32"/>
          <w:szCs w:val="32"/>
          <w:lang w:val="zh-CN"/>
        </w:rPr>
      </w:pP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（四）本实施细则由研究生院负责解释，原《华南理工大学研究生转学工作实施细则》</w:t>
      </w:r>
      <w:r w:rsidR="00514509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（华南工</w:t>
      </w:r>
      <w:proofErr w:type="gramStart"/>
      <w:r w:rsidR="00514509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研</w:t>
      </w:r>
      <w:proofErr w:type="gramEnd"/>
      <w:r w:rsidR="00514509"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〔2015〕20 号）</w:t>
      </w:r>
      <w:r w:rsidRPr="00270A63">
        <w:rPr>
          <w:rFonts w:ascii="仿宋_GB2312" w:eastAsia="仿宋_GB2312" w:hAnsi="仿宋_GB2312" w:cs="仿宋_GB2312" w:hint="eastAsia"/>
          <w:sz w:val="32"/>
          <w:szCs w:val="32"/>
          <w:lang w:val="zh-CN"/>
        </w:rPr>
        <w:t>同时废止。</w:t>
      </w:r>
    </w:p>
    <w:sectPr w:rsidR="000B7332" w:rsidRPr="00270A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42D" w:rsidRDefault="00DB242D" w:rsidP="00A204C4">
      <w:r>
        <w:separator/>
      </w:r>
    </w:p>
  </w:endnote>
  <w:endnote w:type="continuationSeparator" w:id="0">
    <w:p w:rsidR="00DB242D" w:rsidRDefault="00DB242D" w:rsidP="00A20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42D" w:rsidRDefault="00DB242D" w:rsidP="00A204C4">
      <w:r>
        <w:separator/>
      </w:r>
    </w:p>
  </w:footnote>
  <w:footnote w:type="continuationSeparator" w:id="0">
    <w:p w:rsidR="00DB242D" w:rsidRDefault="00DB242D" w:rsidP="00A204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332"/>
    <w:rsid w:val="00007FD9"/>
    <w:rsid w:val="00076B28"/>
    <w:rsid w:val="000B7332"/>
    <w:rsid w:val="000E1743"/>
    <w:rsid w:val="000F4704"/>
    <w:rsid w:val="001C2CCF"/>
    <w:rsid w:val="001C470A"/>
    <w:rsid w:val="00205B27"/>
    <w:rsid w:val="00221D0A"/>
    <w:rsid w:val="0024571C"/>
    <w:rsid w:val="00265B78"/>
    <w:rsid w:val="00270A63"/>
    <w:rsid w:val="00297D16"/>
    <w:rsid w:val="002B5D1B"/>
    <w:rsid w:val="002C1C69"/>
    <w:rsid w:val="002E7043"/>
    <w:rsid w:val="003003CE"/>
    <w:rsid w:val="0031499A"/>
    <w:rsid w:val="00324989"/>
    <w:rsid w:val="00363A9E"/>
    <w:rsid w:val="0037482C"/>
    <w:rsid w:val="003D5839"/>
    <w:rsid w:val="003F0F9F"/>
    <w:rsid w:val="0043780B"/>
    <w:rsid w:val="00462F82"/>
    <w:rsid w:val="004A29B4"/>
    <w:rsid w:val="004A52C1"/>
    <w:rsid w:val="004B2AC4"/>
    <w:rsid w:val="004B3D44"/>
    <w:rsid w:val="00501E5B"/>
    <w:rsid w:val="00514509"/>
    <w:rsid w:val="005427BC"/>
    <w:rsid w:val="005756A1"/>
    <w:rsid w:val="00590A38"/>
    <w:rsid w:val="005A55AB"/>
    <w:rsid w:val="005A635B"/>
    <w:rsid w:val="005C69FA"/>
    <w:rsid w:val="005E7C77"/>
    <w:rsid w:val="0062738F"/>
    <w:rsid w:val="00635A98"/>
    <w:rsid w:val="006725EE"/>
    <w:rsid w:val="006757A7"/>
    <w:rsid w:val="0069621C"/>
    <w:rsid w:val="006B40C5"/>
    <w:rsid w:val="006C58DE"/>
    <w:rsid w:val="006D775E"/>
    <w:rsid w:val="006E544E"/>
    <w:rsid w:val="006E649B"/>
    <w:rsid w:val="00702C2C"/>
    <w:rsid w:val="00732F51"/>
    <w:rsid w:val="007E08C3"/>
    <w:rsid w:val="00801B62"/>
    <w:rsid w:val="00831F2F"/>
    <w:rsid w:val="008329C3"/>
    <w:rsid w:val="008407FD"/>
    <w:rsid w:val="008730DB"/>
    <w:rsid w:val="00894C53"/>
    <w:rsid w:val="008D2146"/>
    <w:rsid w:val="009037FD"/>
    <w:rsid w:val="00943369"/>
    <w:rsid w:val="00943CE9"/>
    <w:rsid w:val="00972DEC"/>
    <w:rsid w:val="009A75EE"/>
    <w:rsid w:val="009C6BD9"/>
    <w:rsid w:val="00A17A3F"/>
    <w:rsid w:val="00A204C4"/>
    <w:rsid w:val="00AA788A"/>
    <w:rsid w:val="00B167AC"/>
    <w:rsid w:val="00B36B6F"/>
    <w:rsid w:val="00B41D56"/>
    <w:rsid w:val="00B749CC"/>
    <w:rsid w:val="00B87F54"/>
    <w:rsid w:val="00BE61DF"/>
    <w:rsid w:val="00C16C9F"/>
    <w:rsid w:val="00CA0241"/>
    <w:rsid w:val="00CE4047"/>
    <w:rsid w:val="00CF28D8"/>
    <w:rsid w:val="00CF4549"/>
    <w:rsid w:val="00D43033"/>
    <w:rsid w:val="00D57CF7"/>
    <w:rsid w:val="00D800B2"/>
    <w:rsid w:val="00D92057"/>
    <w:rsid w:val="00DB242D"/>
    <w:rsid w:val="00DF71E1"/>
    <w:rsid w:val="00DF76F6"/>
    <w:rsid w:val="00E0488E"/>
    <w:rsid w:val="00EC10F2"/>
    <w:rsid w:val="00ED350F"/>
    <w:rsid w:val="00ED3F4D"/>
    <w:rsid w:val="00EF3628"/>
    <w:rsid w:val="00F32561"/>
    <w:rsid w:val="00F665CF"/>
    <w:rsid w:val="00F811CC"/>
    <w:rsid w:val="00FB41E5"/>
    <w:rsid w:val="00FC7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0B7332"/>
    <w:rPr>
      <w:rFonts w:ascii="宋体" w:eastAsia="宋体" w:hAnsi="Courier New" w:cs="Times New Roman"/>
      <w:szCs w:val="21"/>
    </w:rPr>
  </w:style>
  <w:style w:type="character" w:customStyle="1" w:styleId="Char">
    <w:name w:val="纯文本 Char"/>
    <w:basedOn w:val="a0"/>
    <w:link w:val="a3"/>
    <w:rsid w:val="000B7332"/>
    <w:rPr>
      <w:rFonts w:ascii="宋体" w:eastAsia="宋体" w:hAnsi="Courier New" w:cs="Times New Roman"/>
      <w:szCs w:val="21"/>
    </w:rPr>
  </w:style>
  <w:style w:type="paragraph" w:styleId="a4">
    <w:name w:val="header"/>
    <w:basedOn w:val="a"/>
    <w:link w:val="Char0"/>
    <w:uiPriority w:val="99"/>
    <w:unhideWhenUsed/>
    <w:rsid w:val="00A204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A204C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A204C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A204C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0B7332"/>
    <w:rPr>
      <w:rFonts w:ascii="宋体" w:eastAsia="宋体" w:hAnsi="Courier New" w:cs="Times New Roman"/>
      <w:szCs w:val="21"/>
    </w:rPr>
  </w:style>
  <w:style w:type="character" w:customStyle="1" w:styleId="Char">
    <w:name w:val="纯文本 Char"/>
    <w:basedOn w:val="a0"/>
    <w:link w:val="a3"/>
    <w:rsid w:val="000B7332"/>
    <w:rPr>
      <w:rFonts w:ascii="宋体" w:eastAsia="宋体" w:hAnsi="Courier New" w:cs="Times New Roman"/>
      <w:szCs w:val="21"/>
    </w:rPr>
  </w:style>
  <w:style w:type="paragraph" w:styleId="a4">
    <w:name w:val="header"/>
    <w:basedOn w:val="a"/>
    <w:link w:val="Char0"/>
    <w:uiPriority w:val="99"/>
    <w:unhideWhenUsed/>
    <w:rsid w:val="00A204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A204C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A204C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A204C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268</Words>
  <Characters>1528</Characters>
  <Application>Microsoft Office Word</Application>
  <DocSecurity>0</DocSecurity>
  <Lines>12</Lines>
  <Paragraphs>3</Paragraphs>
  <ScaleCrop>false</ScaleCrop>
  <Company>China</Company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师娇</dc:creator>
  <cp:lastModifiedBy>师娇</cp:lastModifiedBy>
  <cp:revision>6</cp:revision>
  <dcterms:created xsi:type="dcterms:W3CDTF">2019-06-11T02:57:00Z</dcterms:created>
  <dcterms:modified xsi:type="dcterms:W3CDTF">2020-09-11T05:49:00Z</dcterms:modified>
</cp:coreProperties>
</file>