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68D5" w:rsidRPr="000C097B" w:rsidRDefault="006D68D5" w:rsidP="005446C8">
      <w:pPr>
        <w:widowControl/>
        <w:spacing w:before="100" w:beforeAutospacing="1" w:after="100" w:afterAutospacing="1" w:line="480" w:lineRule="auto"/>
        <w:jc w:val="center"/>
        <w:rPr>
          <w:rFonts w:ascii="Verdana" w:hAnsi="Verdana" w:cs="宋体"/>
          <w:b/>
          <w:kern w:val="0"/>
          <w:sz w:val="36"/>
          <w:szCs w:val="36"/>
        </w:rPr>
      </w:pPr>
      <w:r w:rsidRPr="000C097B">
        <w:rPr>
          <w:rFonts w:ascii="Verdana" w:hAnsi="Verdana" w:cs="宋体" w:hint="eastAsia"/>
          <w:b/>
          <w:kern w:val="0"/>
          <w:sz w:val="36"/>
          <w:szCs w:val="36"/>
        </w:rPr>
        <w:t>财政部</w:t>
      </w:r>
      <w:r w:rsidR="005446C8" w:rsidRPr="000C097B">
        <w:rPr>
          <w:rFonts w:ascii="Verdana" w:hAnsi="Verdana" w:cs="宋体" w:hint="eastAsia"/>
          <w:b/>
          <w:kern w:val="0"/>
          <w:sz w:val="36"/>
          <w:szCs w:val="36"/>
        </w:rPr>
        <w:t xml:space="preserve"> </w:t>
      </w:r>
      <w:r w:rsidRPr="000C097B">
        <w:rPr>
          <w:rFonts w:ascii="Verdana" w:hAnsi="Verdana" w:cs="宋体" w:hint="eastAsia"/>
          <w:b/>
          <w:kern w:val="0"/>
          <w:sz w:val="36"/>
          <w:szCs w:val="36"/>
        </w:rPr>
        <w:t>中国人民银行</w:t>
      </w:r>
    </w:p>
    <w:p w:rsidR="006D68D5" w:rsidRPr="000C097B" w:rsidRDefault="006D68D5" w:rsidP="006D68D5">
      <w:pPr>
        <w:widowControl/>
        <w:spacing w:before="100" w:beforeAutospacing="1" w:after="100" w:afterAutospacing="1" w:line="480" w:lineRule="auto"/>
        <w:jc w:val="center"/>
        <w:rPr>
          <w:rFonts w:ascii="Verdana" w:hAnsi="Verdana" w:cs="宋体"/>
          <w:b/>
          <w:kern w:val="0"/>
          <w:sz w:val="36"/>
          <w:szCs w:val="36"/>
        </w:rPr>
      </w:pPr>
      <w:r w:rsidRPr="000C097B">
        <w:rPr>
          <w:rFonts w:ascii="Verdana" w:hAnsi="Verdana" w:cs="宋体" w:hint="eastAsia"/>
          <w:b/>
          <w:kern w:val="0"/>
          <w:sz w:val="36"/>
          <w:szCs w:val="36"/>
        </w:rPr>
        <w:t>关于加快推进公务卡制度改革的通知</w:t>
      </w:r>
    </w:p>
    <w:p w:rsidR="006D68D5" w:rsidRPr="002536C7" w:rsidRDefault="006D68D5" w:rsidP="006D68D5">
      <w:pPr>
        <w:widowControl/>
        <w:spacing w:before="100" w:beforeAutospacing="1" w:after="100" w:afterAutospacing="1" w:line="480" w:lineRule="auto"/>
        <w:jc w:val="center"/>
        <w:rPr>
          <w:rFonts w:ascii="宋体" w:hAnsi="宋体" w:cs="宋体"/>
          <w:kern w:val="0"/>
          <w:sz w:val="24"/>
        </w:rPr>
      </w:pPr>
      <w:r w:rsidRPr="002536C7">
        <w:rPr>
          <w:rFonts w:ascii="Verdana" w:hAnsi="Verdana" w:cs="宋体" w:hint="eastAsia"/>
          <w:kern w:val="0"/>
          <w:sz w:val="27"/>
          <w:szCs w:val="27"/>
        </w:rPr>
        <w:t>财库</w:t>
      </w:r>
      <w:r w:rsidRPr="002536C7">
        <w:rPr>
          <w:rFonts w:ascii="Verdana" w:hAnsi="Verdana" w:cs="宋体" w:hint="eastAsia"/>
          <w:kern w:val="0"/>
          <w:sz w:val="27"/>
          <w:szCs w:val="27"/>
        </w:rPr>
        <w:t>[2012]132</w:t>
      </w:r>
      <w:r w:rsidRPr="002536C7">
        <w:rPr>
          <w:rFonts w:ascii="Verdana" w:hAnsi="Verdana" w:cs="宋体" w:hint="eastAsia"/>
          <w:kern w:val="0"/>
          <w:sz w:val="27"/>
          <w:szCs w:val="27"/>
        </w:rPr>
        <w:t>号</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党中央有关部门，国务院各部委、各直属机构，武警部队，全国人大常委会办公厅，全国政协办公厅，高法院，高检院，有关人民团体，新疆生产建设兵团财务局，各省、自治区、直辖市、计划单列市财政厅（局），中国人民银行上海总部、各分行、营业管理部、省会（首府）城市中心支行，各副省级城市中心支行，中国银联，各中央预算单位公务卡代理银行：</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公务卡制度改革自</w:t>
      </w:r>
      <w:r w:rsidRPr="002536C7">
        <w:rPr>
          <w:rFonts w:ascii="Verdana" w:hAnsi="Verdana" w:cs="宋体" w:hint="eastAsia"/>
          <w:kern w:val="0"/>
          <w:sz w:val="27"/>
          <w:szCs w:val="27"/>
        </w:rPr>
        <w:t>2007</w:t>
      </w:r>
      <w:r w:rsidRPr="002536C7">
        <w:rPr>
          <w:rFonts w:ascii="Verdana" w:hAnsi="Verdana" w:cs="宋体" w:hint="eastAsia"/>
          <w:kern w:val="0"/>
          <w:sz w:val="27"/>
          <w:szCs w:val="27"/>
        </w:rPr>
        <w:t>年推行以来，改革覆盖面不断扩大，在减少预算单位现金使用、规范公务支出方面取得明显成效。但目前仍有一些中央和地方预算单位尚未全面实施改革，影响整体改革进程。为贯彻落实国务院第五次廉政工作会议关于</w:t>
      </w:r>
      <w:r w:rsidRPr="002536C7">
        <w:rPr>
          <w:rFonts w:ascii="Verdana" w:hAnsi="Verdana" w:cs="宋体" w:hint="eastAsia"/>
          <w:kern w:val="0"/>
          <w:sz w:val="27"/>
          <w:szCs w:val="27"/>
        </w:rPr>
        <w:t>2012</w:t>
      </w:r>
      <w:r w:rsidRPr="002536C7">
        <w:rPr>
          <w:rFonts w:ascii="Verdana" w:hAnsi="Verdana" w:cs="宋体" w:hint="eastAsia"/>
          <w:kern w:val="0"/>
          <w:sz w:val="27"/>
          <w:szCs w:val="27"/>
        </w:rPr>
        <w:t>年底前全面推行公务卡制度的要求，现就加快推进公务卡制度改革有关事宜通知如下：</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一、全面实施公务卡制度改革</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（一）中央各部门要加快将公务卡制度覆盖到所有基层预算单位。尚未实施公务卡制度改革的中央一级预算单位，要迅速启动改革，不迟于</w:t>
      </w:r>
      <w:r w:rsidRPr="002536C7">
        <w:rPr>
          <w:rFonts w:ascii="Verdana" w:hAnsi="Verdana" w:cs="宋体" w:hint="eastAsia"/>
          <w:kern w:val="0"/>
          <w:sz w:val="27"/>
          <w:szCs w:val="27"/>
        </w:rPr>
        <w:t>2012</w:t>
      </w:r>
      <w:r w:rsidRPr="002536C7">
        <w:rPr>
          <w:rFonts w:ascii="Verdana" w:hAnsi="Verdana" w:cs="宋体" w:hint="eastAsia"/>
          <w:kern w:val="0"/>
          <w:sz w:val="27"/>
          <w:szCs w:val="27"/>
        </w:rPr>
        <w:t>年</w:t>
      </w:r>
      <w:r w:rsidRPr="002536C7">
        <w:rPr>
          <w:rFonts w:ascii="Verdana" w:hAnsi="Verdana" w:cs="宋体" w:hint="eastAsia"/>
          <w:kern w:val="0"/>
          <w:sz w:val="27"/>
          <w:szCs w:val="27"/>
        </w:rPr>
        <w:t>9</w:t>
      </w:r>
      <w:r w:rsidRPr="002536C7">
        <w:rPr>
          <w:rFonts w:ascii="Verdana" w:hAnsi="Verdana" w:cs="宋体" w:hint="eastAsia"/>
          <w:kern w:val="0"/>
          <w:sz w:val="27"/>
          <w:szCs w:val="27"/>
        </w:rPr>
        <w:t>月底为本单位工作人员统一办理公务卡；尚未实施改革的二级以下中央预算单位，要确保</w:t>
      </w:r>
      <w:r w:rsidRPr="002536C7">
        <w:rPr>
          <w:rFonts w:ascii="Verdana" w:hAnsi="Verdana" w:cs="宋体" w:hint="eastAsia"/>
          <w:kern w:val="0"/>
          <w:sz w:val="27"/>
          <w:szCs w:val="27"/>
        </w:rPr>
        <w:t>2012</w:t>
      </w:r>
      <w:r w:rsidRPr="002536C7">
        <w:rPr>
          <w:rFonts w:ascii="Verdana" w:hAnsi="Verdana" w:cs="宋体" w:hint="eastAsia"/>
          <w:kern w:val="0"/>
          <w:sz w:val="27"/>
          <w:szCs w:val="27"/>
        </w:rPr>
        <w:t>年年底前为本单位工作人员统一办理公务卡。</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lastRenderedPageBreak/>
        <w:t xml:space="preserve">　　（二）地方财政部门要加快将公务卡制度覆盖到县乡。在进一步扩大省、市两级改革覆盖面的同时，加大县乡预算单位改革的推进力度，确保</w:t>
      </w:r>
      <w:r w:rsidRPr="002536C7">
        <w:rPr>
          <w:rFonts w:ascii="Verdana" w:hAnsi="Verdana" w:cs="宋体" w:hint="eastAsia"/>
          <w:kern w:val="0"/>
          <w:sz w:val="27"/>
          <w:szCs w:val="27"/>
        </w:rPr>
        <w:t>2012</w:t>
      </w:r>
      <w:r w:rsidRPr="002536C7">
        <w:rPr>
          <w:rFonts w:ascii="Verdana" w:hAnsi="Verdana" w:cs="宋体" w:hint="eastAsia"/>
          <w:kern w:val="0"/>
          <w:sz w:val="27"/>
          <w:szCs w:val="27"/>
        </w:rPr>
        <w:t>年年底前将改革覆盖到所属各级基层预算单位。</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（三）用卡环境尚不成熟的县乡，预算单位应根据实际情况为有用卡需要的公职人员办理公务卡。</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二、加强公务卡相关制度建设</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（四）完善公务卡管理办法。地方各级财政部门要会同当地人民银行分支机构，参照《中央预算单位公务卡管理暂行办法》（财库〔</w:t>
      </w:r>
      <w:r w:rsidRPr="002536C7">
        <w:rPr>
          <w:rFonts w:ascii="Verdana" w:hAnsi="Verdana" w:cs="宋体" w:hint="eastAsia"/>
          <w:kern w:val="0"/>
          <w:sz w:val="27"/>
          <w:szCs w:val="27"/>
        </w:rPr>
        <w:t>2007</w:t>
      </w:r>
      <w:r w:rsidRPr="002536C7">
        <w:rPr>
          <w:rFonts w:ascii="Verdana" w:hAnsi="Verdana" w:cs="宋体" w:hint="eastAsia"/>
          <w:kern w:val="0"/>
          <w:sz w:val="27"/>
          <w:szCs w:val="27"/>
        </w:rPr>
        <w:t>〕</w:t>
      </w:r>
      <w:r w:rsidRPr="002536C7">
        <w:rPr>
          <w:rFonts w:ascii="Verdana" w:hAnsi="Verdana" w:cs="宋体" w:hint="eastAsia"/>
          <w:kern w:val="0"/>
          <w:sz w:val="27"/>
          <w:szCs w:val="27"/>
        </w:rPr>
        <w:t>63</w:t>
      </w:r>
      <w:r w:rsidRPr="002536C7">
        <w:rPr>
          <w:rFonts w:ascii="Verdana" w:hAnsi="Verdana" w:cs="宋体" w:hint="eastAsia"/>
          <w:kern w:val="0"/>
          <w:sz w:val="27"/>
          <w:szCs w:val="27"/>
        </w:rPr>
        <w:t>号），健全完善本地区公务卡管理制度，严格规范办卡程序和报销业务流程，明确管理职责，加强日常监督。</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（五）全面推行公务卡强制结算目录制度。中央预算单位要严格执行《中央预算单位公务卡强制结算目录》，按规定使用公务卡结算的，原则上不再使用现金。地方省、市两级财政部门要结合本地实际，于</w:t>
      </w:r>
      <w:r w:rsidRPr="002536C7">
        <w:rPr>
          <w:rFonts w:ascii="Verdana" w:hAnsi="Verdana" w:cs="宋体" w:hint="eastAsia"/>
          <w:kern w:val="0"/>
          <w:sz w:val="27"/>
          <w:szCs w:val="27"/>
        </w:rPr>
        <w:t>2012</w:t>
      </w:r>
      <w:r w:rsidRPr="002536C7">
        <w:rPr>
          <w:rFonts w:ascii="Verdana" w:hAnsi="Verdana" w:cs="宋体" w:hint="eastAsia"/>
          <w:kern w:val="0"/>
          <w:sz w:val="27"/>
          <w:szCs w:val="27"/>
        </w:rPr>
        <w:t>年年底前建立公务卡强制结算目录制度，将预算单位差旅费、招待费和会议费等公务支出纳入强制结算目录范围。有条件的县级财政部门也要建立公务卡强制结算目录制度。</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三、规范公务卡使用管理</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（六）统一公务卡用卡标准。公务卡一律采用专用发卡行标识代码（</w:t>
      </w:r>
      <w:r w:rsidRPr="002536C7">
        <w:rPr>
          <w:rFonts w:ascii="Verdana" w:hAnsi="Verdana" w:cs="宋体" w:hint="eastAsia"/>
          <w:kern w:val="0"/>
          <w:sz w:val="27"/>
          <w:szCs w:val="27"/>
        </w:rPr>
        <w:t>Bank Identification Number, BIN</w:t>
      </w:r>
      <w:r w:rsidRPr="002536C7">
        <w:rPr>
          <w:rFonts w:ascii="Verdana" w:hAnsi="Verdana" w:cs="宋体" w:hint="eastAsia"/>
          <w:kern w:val="0"/>
          <w:sz w:val="27"/>
          <w:szCs w:val="27"/>
        </w:rPr>
        <w:t>）为“</w:t>
      </w:r>
      <w:r w:rsidRPr="002536C7">
        <w:rPr>
          <w:rFonts w:ascii="Verdana" w:hAnsi="Verdana" w:cs="宋体" w:hint="eastAsia"/>
          <w:kern w:val="0"/>
          <w:sz w:val="27"/>
          <w:szCs w:val="27"/>
        </w:rPr>
        <w:t>628</w:t>
      </w:r>
      <w:r w:rsidRPr="002536C7">
        <w:rPr>
          <w:rFonts w:ascii="Verdana" w:hAnsi="Verdana" w:cs="宋体" w:hint="eastAsia"/>
          <w:kern w:val="0"/>
          <w:sz w:val="27"/>
          <w:szCs w:val="27"/>
        </w:rPr>
        <w:t>”开头的银联标准卡。对于之前已经核发、未采用专用</w:t>
      </w:r>
      <w:r w:rsidRPr="002536C7">
        <w:rPr>
          <w:rFonts w:ascii="Verdana" w:hAnsi="Verdana" w:cs="宋体" w:hint="eastAsia"/>
          <w:kern w:val="0"/>
          <w:sz w:val="27"/>
          <w:szCs w:val="27"/>
        </w:rPr>
        <w:t>BIN</w:t>
      </w:r>
      <w:r w:rsidRPr="002536C7">
        <w:rPr>
          <w:rFonts w:ascii="Verdana" w:hAnsi="Verdana" w:cs="宋体" w:hint="eastAsia"/>
          <w:kern w:val="0"/>
          <w:sz w:val="27"/>
          <w:szCs w:val="27"/>
        </w:rPr>
        <w:t>的公务卡，公务卡代理银行应当进行清理和登记，并在有效期满后及时做好银联标准公务卡的换卡工作。</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lastRenderedPageBreak/>
        <w:t xml:space="preserve">　　（七）规范公务卡发卡程序。预算单位要与公务卡代理银行签订委托代理协议，明确双方的权利和义务，并报财政部门备案。公务卡原则上一人一卡，由预算单位统一组织本单位工作人员向代理银行申办，严禁为非预算单位人员办理公务卡。</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八）加强公务卡支持系统建设和信息安全管理。预算单位、公务卡代理银行和中国银联要优化和完善公务卡支持系统，提高公务卡支持系统运行速度和稳定性；要在制度和技术上采取必要措施保障公务卡信息安全，严禁对外提供或泄漏与公务卡持卡人和公务支出有关的各种数据资料。</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四、改善公务卡制度推广环境</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九）加强宣传培训。各地区、各部门要做好宣传培训工作，使公务人员充分了解公务卡的具体使用方法和安全用卡知识，单位财务人员熟练掌握公务卡管理规定和报销还款具体操作，提高办卡、用卡积极性，为推广使用公务卡营造良好的舆论环境。</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十）提高公务卡代理银行服务质量。公务卡代理银行要为预算单位和持卡人提供优质、便捷服务，简化办卡手续，缩短办卡流程，及时反馈资金还款等信息；加强公务卡数据统计，密切关注公务卡使用情况，定期向财政部门和预算单位反馈。</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十一）进一步改善公务卡受理市场建设。各级财政部门要牵头协调与公务支出密切相关的单位和企业积极受理公务卡。财政部门、预算单位在确定党政机关出差会议定点饭店及公务车辆定点加油、维修供应商时，原则上要将受理公务卡作为前提条件。公务卡代理银行、中国银</w:t>
      </w:r>
      <w:r w:rsidRPr="002536C7">
        <w:rPr>
          <w:rFonts w:ascii="Verdana" w:hAnsi="Verdana" w:cs="宋体" w:hint="eastAsia"/>
          <w:kern w:val="0"/>
          <w:sz w:val="27"/>
          <w:szCs w:val="27"/>
        </w:rPr>
        <w:lastRenderedPageBreak/>
        <w:t>联要扩大销售点终端（</w:t>
      </w:r>
      <w:r w:rsidRPr="002536C7">
        <w:rPr>
          <w:rFonts w:ascii="Verdana" w:hAnsi="Verdana" w:cs="宋体" w:hint="eastAsia"/>
          <w:kern w:val="0"/>
          <w:sz w:val="27"/>
          <w:szCs w:val="27"/>
        </w:rPr>
        <w:t>Point of Sale, POS</w:t>
      </w:r>
      <w:r w:rsidRPr="002536C7">
        <w:rPr>
          <w:rFonts w:ascii="Verdana" w:hAnsi="Verdana" w:cs="宋体" w:hint="eastAsia"/>
          <w:kern w:val="0"/>
          <w:sz w:val="27"/>
          <w:szCs w:val="27"/>
        </w:rPr>
        <w:t>）机具布设范围，加大布设密度，增加机具数量，特别是加大中西部地区的布设力度。</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五、及时准确报送公务卡制度改革进展情况</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（十二）各中央部门和中央预算单位公务卡代理银行要于</w:t>
      </w:r>
      <w:r w:rsidRPr="002536C7">
        <w:rPr>
          <w:rFonts w:ascii="Verdana" w:hAnsi="Verdana" w:cs="宋体" w:hint="eastAsia"/>
          <w:kern w:val="0"/>
          <w:sz w:val="27"/>
          <w:szCs w:val="27"/>
        </w:rPr>
        <w:t>2012</w:t>
      </w:r>
      <w:r w:rsidRPr="002536C7">
        <w:rPr>
          <w:rFonts w:ascii="Verdana" w:hAnsi="Verdana" w:cs="宋体" w:hint="eastAsia"/>
          <w:kern w:val="0"/>
          <w:sz w:val="27"/>
          <w:szCs w:val="27"/>
        </w:rPr>
        <w:t>年</w:t>
      </w:r>
      <w:r w:rsidRPr="002536C7">
        <w:rPr>
          <w:rFonts w:ascii="Verdana" w:hAnsi="Verdana" w:cs="宋体" w:hint="eastAsia"/>
          <w:kern w:val="0"/>
          <w:sz w:val="27"/>
          <w:szCs w:val="27"/>
        </w:rPr>
        <w:t>10</w:t>
      </w:r>
      <w:r w:rsidRPr="002536C7">
        <w:rPr>
          <w:rFonts w:ascii="Verdana" w:hAnsi="Verdana" w:cs="宋体" w:hint="eastAsia"/>
          <w:kern w:val="0"/>
          <w:sz w:val="27"/>
          <w:szCs w:val="27"/>
        </w:rPr>
        <w:t>月底前和</w:t>
      </w:r>
      <w:r w:rsidRPr="002536C7">
        <w:rPr>
          <w:rFonts w:ascii="Verdana" w:hAnsi="Verdana" w:cs="宋体" w:hint="eastAsia"/>
          <w:kern w:val="0"/>
          <w:sz w:val="27"/>
          <w:szCs w:val="27"/>
        </w:rPr>
        <w:t>2013</w:t>
      </w:r>
      <w:r w:rsidRPr="002536C7">
        <w:rPr>
          <w:rFonts w:ascii="Verdana" w:hAnsi="Verdana" w:cs="宋体" w:hint="eastAsia"/>
          <w:kern w:val="0"/>
          <w:sz w:val="27"/>
          <w:szCs w:val="27"/>
        </w:rPr>
        <w:t>年</w:t>
      </w:r>
      <w:r w:rsidRPr="002536C7">
        <w:rPr>
          <w:rFonts w:ascii="Verdana" w:hAnsi="Verdana" w:cs="宋体" w:hint="eastAsia"/>
          <w:kern w:val="0"/>
          <w:sz w:val="27"/>
          <w:szCs w:val="27"/>
        </w:rPr>
        <w:t>1</w:t>
      </w:r>
      <w:r w:rsidRPr="002536C7">
        <w:rPr>
          <w:rFonts w:ascii="Verdana" w:hAnsi="Verdana" w:cs="宋体" w:hint="eastAsia"/>
          <w:kern w:val="0"/>
          <w:sz w:val="27"/>
          <w:szCs w:val="27"/>
        </w:rPr>
        <w:t>月底前分别向财政部报送截至</w:t>
      </w:r>
      <w:r w:rsidRPr="002536C7">
        <w:rPr>
          <w:rFonts w:ascii="Verdana" w:hAnsi="Verdana" w:cs="宋体" w:hint="eastAsia"/>
          <w:kern w:val="0"/>
          <w:sz w:val="27"/>
          <w:szCs w:val="27"/>
        </w:rPr>
        <w:t>2012</w:t>
      </w:r>
      <w:r w:rsidRPr="002536C7">
        <w:rPr>
          <w:rFonts w:ascii="Verdana" w:hAnsi="Verdana" w:cs="宋体" w:hint="eastAsia"/>
          <w:kern w:val="0"/>
          <w:sz w:val="27"/>
          <w:szCs w:val="27"/>
        </w:rPr>
        <w:t>年</w:t>
      </w:r>
      <w:r w:rsidRPr="002536C7">
        <w:rPr>
          <w:rFonts w:ascii="Verdana" w:hAnsi="Verdana" w:cs="宋体" w:hint="eastAsia"/>
          <w:kern w:val="0"/>
          <w:sz w:val="27"/>
          <w:szCs w:val="27"/>
        </w:rPr>
        <w:t>9</w:t>
      </w:r>
      <w:r w:rsidRPr="002536C7">
        <w:rPr>
          <w:rFonts w:ascii="Verdana" w:hAnsi="Verdana" w:cs="宋体" w:hint="eastAsia"/>
          <w:kern w:val="0"/>
          <w:sz w:val="27"/>
          <w:szCs w:val="27"/>
        </w:rPr>
        <w:t>月末和截至</w:t>
      </w:r>
      <w:r w:rsidRPr="002536C7">
        <w:rPr>
          <w:rFonts w:ascii="Verdana" w:hAnsi="Verdana" w:cs="宋体" w:hint="eastAsia"/>
          <w:kern w:val="0"/>
          <w:sz w:val="27"/>
          <w:szCs w:val="27"/>
        </w:rPr>
        <w:t>2012</w:t>
      </w:r>
      <w:r w:rsidRPr="002536C7">
        <w:rPr>
          <w:rFonts w:ascii="Verdana" w:hAnsi="Verdana" w:cs="宋体" w:hint="eastAsia"/>
          <w:kern w:val="0"/>
          <w:sz w:val="27"/>
          <w:szCs w:val="27"/>
        </w:rPr>
        <w:t>年年末改革进展情况表和业务数据统计表（见附件）。</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（十三）省级财政部门要按照《财政部关于进一步推进地方国库集中收付制度改革的通知》（财库〔</w:t>
      </w:r>
      <w:r w:rsidRPr="002536C7">
        <w:rPr>
          <w:rFonts w:ascii="Verdana" w:hAnsi="Verdana" w:cs="宋体" w:hint="eastAsia"/>
          <w:kern w:val="0"/>
          <w:sz w:val="27"/>
          <w:szCs w:val="27"/>
        </w:rPr>
        <w:t>2011</w:t>
      </w:r>
      <w:r w:rsidRPr="002536C7">
        <w:rPr>
          <w:rFonts w:ascii="Verdana" w:hAnsi="Verdana" w:cs="宋体" w:hint="eastAsia"/>
          <w:kern w:val="0"/>
          <w:sz w:val="27"/>
          <w:szCs w:val="27"/>
        </w:rPr>
        <w:t>〕</w:t>
      </w:r>
      <w:r w:rsidRPr="002536C7">
        <w:rPr>
          <w:rFonts w:ascii="Verdana" w:hAnsi="Verdana" w:cs="宋体" w:hint="eastAsia"/>
          <w:kern w:val="0"/>
          <w:sz w:val="27"/>
          <w:szCs w:val="27"/>
        </w:rPr>
        <w:t>167</w:t>
      </w:r>
      <w:r w:rsidRPr="002536C7">
        <w:rPr>
          <w:rFonts w:ascii="Verdana" w:hAnsi="Verdana" w:cs="宋体" w:hint="eastAsia"/>
          <w:kern w:val="0"/>
          <w:sz w:val="27"/>
          <w:szCs w:val="27"/>
        </w:rPr>
        <w:t>号）规定，按时报送公务卡制度改革情况。</w:t>
      </w:r>
    </w:p>
    <w:p w:rsidR="006D68D5" w:rsidRPr="002536C7" w:rsidRDefault="006D68D5" w:rsidP="00573349">
      <w:pPr>
        <w:widowControl/>
        <w:spacing w:line="360" w:lineRule="auto"/>
        <w:jc w:val="left"/>
        <w:rPr>
          <w:rFonts w:ascii="宋体" w:hAnsi="宋体" w:cs="宋体"/>
          <w:kern w:val="0"/>
          <w:sz w:val="24"/>
        </w:rPr>
      </w:pPr>
      <w:r w:rsidRPr="002536C7">
        <w:rPr>
          <w:rFonts w:ascii="Verdana" w:hAnsi="Verdana" w:cs="宋体" w:hint="eastAsia"/>
          <w:kern w:val="0"/>
          <w:sz w:val="27"/>
          <w:szCs w:val="27"/>
        </w:rPr>
        <w:t xml:space="preserve">　　（十四）地方各级财政部门要规范公务卡数据统计，对本级预算单位报送的数据，应当与代理银行数据核对一致，并向上级财政部门报送，确保数据真实准确。</w:t>
      </w:r>
    </w:p>
    <w:p w:rsidR="006D68D5" w:rsidRPr="002536C7" w:rsidRDefault="006D68D5" w:rsidP="00573349">
      <w:pPr>
        <w:widowControl/>
        <w:spacing w:line="360" w:lineRule="auto"/>
        <w:jc w:val="left"/>
        <w:rPr>
          <w:rFonts w:ascii="宋体" w:hAnsi="宋体" w:cs="宋体"/>
          <w:kern w:val="0"/>
          <w:sz w:val="24"/>
        </w:rPr>
      </w:pPr>
    </w:p>
    <w:p w:rsidR="006D68D5" w:rsidRPr="002536C7" w:rsidRDefault="006D68D5" w:rsidP="00573349">
      <w:pPr>
        <w:widowControl/>
        <w:spacing w:line="360" w:lineRule="auto"/>
        <w:jc w:val="right"/>
        <w:rPr>
          <w:rFonts w:ascii="宋体" w:hAnsi="宋体" w:cs="宋体"/>
          <w:kern w:val="0"/>
          <w:sz w:val="24"/>
        </w:rPr>
      </w:pPr>
      <w:r w:rsidRPr="002536C7">
        <w:rPr>
          <w:rFonts w:ascii="Verdana" w:hAnsi="Verdana" w:cs="宋体" w:hint="eastAsia"/>
          <w:kern w:val="0"/>
          <w:sz w:val="27"/>
          <w:szCs w:val="27"/>
        </w:rPr>
        <w:t>财政部</w:t>
      </w:r>
      <w:r w:rsidRPr="002536C7">
        <w:rPr>
          <w:rFonts w:ascii="Verdana" w:hAnsi="Verdana" w:cs="宋体" w:hint="eastAsia"/>
          <w:kern w:val="0"/>
          <w:sz w:val="27"/>
          <w:szCs w:val="27"/>
        </w:rPr>
        <w:t xml:space="preserve">  </w:t>
      </w:r>
      <w:r w:rsidRPr="002536C7">
        <w:rPr>
          <w:rFonts w:ascii="Verdana" w:hAnsi="Verdana" w:cs="宋体" w:hint="eastAsia"/>
          <w:kern w:val="0"/>
          <w:sz w:val="27"/>
          <w:szCs w:val="27"/>
        </w:rPr>
        <w:t>中国人民银行</w:t>
      </w:r>
    </w:p>
    <w:p w:rsidR="00D15A99" w:rsidRPr="006D68D5" w:rsidRDefault="006D68D5" w:rsidP="00573349">
      <w:pPr>
        <w:spacing w:line="360" w:lineRule="auto"/>
        <w:jc w:val="right"/>
      </w:pPr>
      <w:r w:rsidRPr="002536C7">
        <w:rPr>
          <w:rFonts w:ascii="Verdana" w:hAnsi="Verdana" w:cs="宋体" w:hint="eastAsia"/>
          <w:kern w:val="0"/>
          <w:sz w:val="27"/>
          <w:szCs w:val="27"/>
        </w:rPr>
        <w:t xml:space="preserve">　　</w:t>
      </w:r>
      <w:smartTag w:uri="urn:schemas-microsoft-com:office:smarttags" w:element="chsdate">
        <w:smartTagPr>
          <w:attr w:name="IsROCDate" w:val="False"/>
          <w:attr w:name="IsLunarDate" w:val="False"/>
          <w:attr w:name="Day" w:val="5"/>
          <w:attr w:name="Month" w:val="9"/>
          <w:attr w:name="Year" w:val="2012"/>
        </w:smartTagPr>
        <w:r w:rsidRPr="002536C7">
          <w:rPr>
            <w:rFonts w:ascii="Verdana" w:hAnsi="Verdana" w:cs="宋体" w:hint="eastAsia"/>
            <w:kern w:val="0"/>
            <w:sz w:val="27"/>
            <w:szCs w:val="27"/>
          </w:rPr>
          <w:t>2012</w:t>
        </w:r>
        <w:r w:rsidRPr="002536C7">
          <w:rPr>
            <w:rFonts w:ascii="Verdana" w:hAnsi="Verdana" w:cs="宋体" w:hint="eastAsia"/>
            <w:kern w:val="0"/>
            <w:sz w:val="27"/>
            <w:szCs w:val="27"/>
          </w:rPr>
          <w:t>年</w:t>
        </w:r>
        <w:r w:rsidRPr="002536C7">
          <w:rPr>
            <w:rFonts w:ascii="Verdana" w:hAnsi="Verdana" w:cs="宋体" w:hint="eastAsia"/>
            <w:kern w:val="0"/>
            <w:sz w:val="27"/>
            <w:szCs w:val="27"/>
          </w:rPr>
          <w:t>9</w:t>
        </w:r>
        <w:r w:rsidRPr="002536C7">
          <w:rPr>
            <w:rFonts w:ascii="Verdana" w:hAnsi="Verdana" w:cs="宋体" w:hint="eastAsia"/>
            <w:kern w:val="0"/>
            <w:sz w:val="27"/>
            <w:szCs w:val="27"/>
          </w:rPr>
          <w:t>月</w:t>
        </w:r>
        <w:r w:rsidRPr="002536C7">
          <w:rPr>
            <w:rFonts w:ascii="Verdana" w:hAnsi="Verdana" w:cs="宋体" w:hint="eastAsia"/>
            <w:kern w:val="0"/>
            <w:sz w:val="27"/>
            <w:szCs w:val="27"/>
          </w:rPr>
          <w:t>5</w:t>
        </w:r>
        <w:r w:rsidRPr="002536C7">
          <w:rPr>
            <w:rFonts w:ascii="Verdana" w:hAnsi="Verdana" w:cs="宋体" w:hint="eastAsia"/>
            <w:kern w:val="0"/>
            <w:sz w:val="27"/>
            <w:szCs w:val="27"/>
          </w:rPr>
          <w:t>日</w:t>
        </w:r>
      </w:smartTag>
    </w:p>
    <w:sectPr w:rsidR="00D15A99" w:rsidRPr="006D68D5" w:rsidSect="00D15A9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82F42" w:rsidRDefault="00882F42" w:rsidP="000C097B">
      <w:r>
        <w:separator/>
      </w:r>
    </w:p>
  </w:endnote>
  <w:endnote w:type="continuationSeparator" w:id="1">
    <w:p w:rsidR="00882F42" w:rsidRDefault="00882F42" w:rsidP="000C097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82F42" w:rsidRDefault="00882F42" w:rsidP="000C097B">
      <w:r>
        <w:separator/>
      </w:r>
    </w:p>
  </w:footnote>
  <w:footnote w:type="continuationSeparator" w:id="1">
    <w:p w:rsidR="00882F42" w:rsidRDefault="00882F42" w:rsidP="000C097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717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D68D5"/>
    <w:rsid w:val="000006FA"/>
    <w:rsid w:val="00012852"/>
    <w:rsid w:val="00027673"/>
    <w:rsid w:val="00044212"/>
    <w:rsid w:val="00044C6A"/>
    <w:rsid w:val="00044E14"/>
    <w:rsid w:val="00046034"/>
    <w:rsid w:val="000462FE"/>
    <w:rsid w:val="00050A49"/>
    <w:rsid w:val="00062413"/>
    <w:rsid w:val="000667EC"/>
    <w:rsid w:val="000673F5"/>
    <w:rsid w:val="00067956"/>
    <w:rsid w:val="00071B16"/>
    <w:rsid w:val="000727A9"/>
    <w:rsid w:val="00072F3A"/>
    <w:rsid w:val="00075BD4"/>
    <w:rsid w:val="00076195"/>
    <w:rsid w:val="00076557"/>
    <w:rsid w:val="00081AD7"/>
    <w:rsid w:val="0008609D"/>
    <w:rsid w:val="000863DB"/>
    <w:rsid w:val="000B0070"/>
    <w:rsid w:val="000C097B"/>
    <w:rsid w:val="000C1FA4"/>
    <w:rsid w:val="000C296C"/>
    <w:rsid w:val="000E03BB"/>
    <w:rsid w:val="000F0A93"/>
    <w:rsid w:val="000F43D2"/>
    <w:rsid w:val="000F62BF"/>
    <w:rsid w:val="001070A0"/>
    <w:rsid w:val="00121B03"/>
    <w:rsid w:val="001311C2"/>
    <w:rsid w:val="00133781"/>
    <w:rsid w:val="00133CE6"/>
    <w:rsid w:val="001548EF"/>
    <w:rsid w:val="001550A0"/>
    <w:rsid w:val="00167BB8"/>
    <w:rsid w:val="00174980"/>
    <w:rsid w:val="0018188B"/>
    <w:rsid w:val="00183C67"/>
    <w:rsid w:val="00186538"/>
    <w:rsid w:val="00196093"/>
    <w:rsid w:val="001B64E4"/>
    <w:rsid w:val="001C0F47"/>
    <w:rsid w:val="001E4E13"/>
    <w:rsid w:val="001E5A9A"/>
    <w:rsid w:val="001F38EF"/>
    <w:rsid w:val="00200B52"/>
    <w:rsid w:val="00202919"/>
    <w:rsid w:val="0022096F"/>
    <w:rsid w:val="002512AD"/>
    <w:rsid w:val="002533A1"/>
    <w:rsid w:val="00277619"/>
    <w:rsid w:val="00283C22"/>
    <w:rsid w:val="00293704"/>
    <w:rsid w:val="0029584A"/>
    <w:rsid w:val="002A7594"/>
    <w:rsid w:val="002B1B2A"/>
    <w:rsid w:val="002B5259"/>
    <w:rsid w:val="002D04CA"/>
    <w:rsid w:val="002D2449"/>
    <w:rsid w:val="002D779C"/>
    <w:rsid w:val="002E246F"/>
    <w:rsid w:val="002E5BB2"/>
    <w:rsid w:val="002F639E"/>
    <w:rsid w:val="00303AFA"/>
    <w:rsid w:val="00325F04"/>
    <w:rsid w:val="0035003A"/>
    <w:rsid w:val="00352335"/>
    <w:rsid w:val="00354690"/>
    <w:rsid w:val="00362816"/>
    <w:rsid w:val="00375A04"/>
    <w:rsid w:val="003776CB"/>
    <w:rsid w:val="00392DAD"/>
    <w:rsid w:val="00396233"/>
    <w:rsid w:val="003D71E9"/>
    <w:rsid w:val="003E034D"/>
    <w:rsid w:val="003F6EF5"/>
    <w:rsid w:val="003F7F62"/>
    <w:rsid w:val="00404B89"/>
    <w:rsid w:val="00406390"/>
    <w:rsid w:val="00420BFE"/>
    <w:rsid w:val="00425EDD"/>
    <w:rsid w:val="00432886"/>
    <w:rsid w:val="0043554F"/>
    <w:rsid w:val="00435B8C"/>
    <w:rsid w:val="00447E11"/>
    <w:rsid w:val="004534DA"/>
    <w:rsid w:val="00461A56"/>
    <w:rsid w:val="00462954"/>
    <w:rsid w:val="00466C92"/>
    <w:rsid w:val="0048156C"/>
    <w:rsid w:val="00492A34"/>
    <w:rsid w:val="00494FFD"/>
    <w:rsid w:val="0049598E"/>
    <w:rsid w:val="00496671"/>
    <w:rsid w:val="004C4F8C"/>
    <w:rsid w:val="004C73FE"/>
    <w:rsid w:val="004D5549"/>
    <w:rsid w:val="004D55DE"/>
    <w:rsid w:val="004E17F3"/>
    <w:rsid w:val="004E1D3B"/>
    <w:rsid w:val="004E4948"/>
    <w:rsid w:val="004F240A"/>
    <w:rsid w:val="00503A14"/>
    <w:rsid w:val="00507FA5"/>
    <w:rsid w:val="005103BF"/>
    <w:rsid w:val="0052192A"/>
    <w:rsid w:val="00521A7B"/>
    <w:rsid w:val="0052474F"/>
    <w:rsid w:val="00531622"/>
    <w:rsid w:val="00537AA8"/>
    <w:rsid w:val="00537B1A"/>
    <w:rsid w:val="00542166"/>
    <w:rsid w:val="005446C8"/>
    <w:rsid w:val="0055173A"/>
    <w:rsid w:val="005523CE"/>
    <w:rsid w:val="00553D6B"/>
    <w:rsid w:val="00573349"/>
    <w:rsid w:val="00582996"/>
    <w:rsid w:val="00596D3D"/>
    <w:rsid w:val="00597DBB"/>
    <w:rsid w:val="005A4846"/>
    <w:rsid w:val="005C06B4"/>
    <w:rsid w:val="005C259A"/>
    <w:rsid w:val="005C2895"/>
    <w:rsid w:val="00603EC0"/>
    <w:rsid w:val="00604799"/>
    <w:rsid w:val="00605E49"/>
    <w:rsid w:val="00607C9B"/>
    <w:rsid w:val="00612C73"/>
    <w:rsid w:val="006166A0"/>
    <w:rsid w:val="00634AED"/>
    <w:rsid w:val="00641F95"/>
    <w:rsid w:val="006434C8"/>
    <w:rsid w:val="0064541F"/>
    <w:rsid w:val="00647D77"/>
    <w:rsid w:val="00661935"/>
    <w:rsid w:val="0066472A"/>
    <w:rsid w:val="00665B86"/>
    <w:rsid w:val="00666EF9"/>
    <w:rsid w:val="006732FD"/>
    <w:rsid w:val="00691BC2"/>
    <w:rsid w:val="006A4DBC"/>
    <w:rsid w:val="006A6B58"/>
    <w:rsid w:val="006B0184"/>
    <w:rsid w:val="006C30D1"/>
    <w:rsid w:val="006C6B93"/>
    <w:rsid w:val="006C6FAA"/>
    <w:rsid w:val="006C744D"/>
    <w:rsid w:val="006D68D5"/>
    <w:rsid w:val="006E33D8"/>
    <w:rsid w:val="006E5289"/>
    <w:rsid w:val="006E7545"/>
    <w:rsid w:val="006F73C1"/>
    <w:rsid w:val="007028A6"/>
    <w:rsid w:val="007156EB"/>
    <w:rsid w:val="007179A4"/>
    <w:rsid w:val="007204DF"/>
    <w:rsid w:val="00722BAD"/>
    <w:rsid w:val="00730BC9"/>
    <w:rsid w:val="00734CA6"/>
    <w:rsid w:val="007354A1"/>
    <w:rsid w:val="0074260C"/>
    <w:rsid w:val="00745EE2"/>
    <w:rsid w:val="00752F34"/>
    <w:rsid w:val="007619B9"/>
    <w:rsid w:val="00770504"/>
    <w:rsid w:val="007758EE"/>
    <w:rsid w:val="00777370"/>
    <w:rsid w:val="0078244D"/>
    <w:rsid w:val="00793350"/>
    <w:rsid w:val="007967CE"/>
    <w:rsid w:val="007972C4"/>
    <w:rsid w:val="007A090A"/>
    <w:rsid w:val="007A1093"/>
    <w:rsid w:val="007A5037"/>
    <w:rsid w:val="007B25A0"/>
    <w:rsid w:val="007C03EE"/>
    <w:rsid w:val="007D0EDB"/>
    <w:rsid w:val="007D29AC"/>
    <w:rsid w:val="007D2D55"/>
    <w:rsid w:val="007E1592"/>
    <w:rsid w:val="007E7B46"/>
    <w:rsid w:val="00814247"/>
    <w:rsid w:val="008164B4"/>
    <w:rsid w:val="008173A3"/>
    <w:rsid w:val="008430DF"/>
    <w:rsid w:val="00844105"/>
    <w:rsid w:val="0084778D"/>
    <w:rsid w:val="008550FD"/>
    <w:rsid w:val="00856B13"/>
    <w:rsid w:val="00866D86"/>
    <w:rsid w:val="0088099C"/>
    <w:rsid w:val="00882F42"/>
    <w:rsid w:val="00885DBE"/>
    <w:rsid w:val="00890A15"/>
    <w:rsid w:val="008954F3"/>
    <w:rsid w:val="00896879"/>
    <w:rsid w:val="008A5F7E"/>
    <w:rsid w:val="008B0C8D"/>
    <w:rsid w:val="008B799C"/>
    <w:rsid w:val="008B7E38"/>
    <w:rsid w:val="008C3DFF"/>
    <w:rsid w:val="008C43DB"/>
    <w:rsid w:val="008D23C3"/>
    <w:rsid w:val="008D6F3B"/>
    <w:rsid w:val="008F1996"/>
    <w:rsid w:val="008F716A"/>
    <w:rsid w:val="009004B4"/>
    <w:rsid w:val="00900761"/>
    <w:rsid w:val="009141A8"/>
    <w:rsid w:val="00915E1B"/>
    <w:rsid w:val="00923A9F"/>
    <w:rsid w:val="00925668"/>
    <w:rsid w:val="009422E7"/>
    <w:rsid w:val="00964E8E"/>
    <w:rsid w:val="00965089"/>
    <w:rsid w:val="009730A0"/>
    <w:rsid w:val="0097679F"/>
    <w:rsid w:val="00981365"/>
    <w:rsid w:val="00991540"/>
    <w:rsid w:val="009952E8"/>
    <w:rsid w:val="009D0E2E"/>
    <w:rsid w:val="009D1EC1"/>
    <w:rsid w:val="009E2FC8"/>
    <w:rsid w:val="009E4FDC"/>
    <w:rsid w:val="00A0657D"/>
    <w:rsid w:val="00A26571"/>
    <w:rsid w:val="00A30943"/>
    <w:rsid w:val="00A3433A"/>
    <w:rsid w:val="00A42E75"/>
    <w:rsid w:val="00A462D8"/>
    <w:rsid w:val="00A51335"/>
    <w:rsid w:val="00A55E92"/>
    <w:rsid w:val="00A646C7"/>
    <w:rsid w:val="00A64A40"/>
    <w:rsid w:val="00A713C3"/>
    <w:rsid w:val="00A7236D"/>
    <w:rsid w:val="00A8598A"/>
    <w:rsid w:val="00A8668B"/>
    <w:rsid w:val="00AA3672"/>
    <w:rsid w:val="00AB7D99"/>
    <w:rsid w:val="00AC1D0D"/>
    <w:rsid w:val="00AC3E74"/>
    <w:rsid w:val="00AC7C55"/>
    <w:rsid w:val="00AC7F20"/>
    <w:rsid w:val="00AD14DB"/>
    <w:rsid w:val="00AD2589"/>
    <w:rsid w:val="00AD3148"/>
    <w:rsid w:val="00AD6BCD"/>
    <w:rsid w:val="00AE18C7"/>
    <w:rsid w:val="00AE2DD0"/>
    <w:rsid w:val="00AE55D2"/>
    <w:rsid w:val="00AF0D79"/>
    <w:rsid w:val="00AF5E29"/>
    <w:rsid w:val="00B00FCB"/>
    <w:rsid w:val="00B13791"/>
    <w:rsid w:val="00B22BFB"/>
    <w:rsid w:val="00B32169"/>
    <w:rsid w:val="00B446D2"/>
    <w:rsid w:val="00B46710"/>
    <w:rsid w:val="00B6744C"/>
    <w:rsid w:val="00B738A3"/>
    <w:rsid w:val="00B821D5"/>
    <w:rsid w:val="00B9026C"/>
    <w:rsid w:val="00B90695"/>
    <w:rsid w:val="00B90DCF"/>
    <w:rsid w:val="00BB0278"/>
    <w:rsid w:val="00BB4B39"/>
    <w:rsid w:val="00BB5D0F"/>
    <w:rsid w:val="00BB73D4"/>
    <w:rsid w:val="00BF00D4"/>
    <w:rsid w:val="00BF0743"/>
    <w:rsid w:val="00C15F5D"/>
    <w:rsid w:val="00C22766"/>
    <w:rsid w:val="00C231BD"/>
    <w:rsid w:val="00C33A7A"/>
    <w:rsid w:val="00C36B7A"/>
    <w:rsid w:val="00C36EDC"/>
    <w:rsid w:val="00C40193"/>
    <w:rsid w:val="00C74A75"/>
    <w:rsid w:val="00C83E8E"/>
    <w:rsid w:val="00C84819"/>
    <w:rsid w:val="00CA0980"/>
    <w:rsid w:val="00CB293E"/>
    <w:rsid w:val="00CC27DE"/>
    <w:rsid w:val="00CC735A"/>
    <w:rsid w:val="00CD12F9"/>
    <w:rsid w:val="00CE6196"/>
    <w:rsid w:val="00CF1C1F"/>
    <w:rsid w:val="00D04CAE"/>
    <w:rsid w:val="00D06C77"/>
    <w:rsid w:val="00D07194"/>
    <w:rsid w:val="00D15A99"/>
    <w:rsid w:val="00D20082"/>
    <w:rsid w:val="00D22118"/>
    <w:rsid w:val="00D245CA"/>
    <w:rsid w:val="00D26E2B"/>
    <w:rsid w:val="00D345CC"/>
    <w:rsid w:val="00D376FC"/>
    <w:rsid w:val="00D37B4B"/>
    <w:rsid w:val="00D420E2"/>
    <w:rsid w:val="00D44F2F"/>
    <w:rsid w:val="00D533D7"/>
    <w:rsid w:val="00D665DD"/>
    <w:rsid w:val="00D74EF9"/>
    <w:rsid w:val="00D7502B"/>
    <w:rsid w:val="00D801BF"/>
    <w:rsid w:val="00D8161B"/>
    <w:rsid w:val="00D82B17"/>
    <w:rsid w:val="00D8303F"/>
    <w:rsid w:val="00D9500C"/>
    <w:rsid w:val="00DA0972"/>
    <w:rsid w:val="00DA7C5E"/>
    <w:rsid w:val="00DB5647"/>
    <w:rsid w:val="00DB6047"/>
    <w:rsid w:val="00DD6A77"/>
    <w:rsid w:val="00DD6C7B"/>
    <w:rsid w:val="00DF1641"/>
    <w:rsid w:val="00DF1D63"/>
    <w:rsid w:val="00DF2A5F"/>
    <w:rsid w:val="00E05E2C"/>
    <w:rsid w:val="00E121BF"/>
    <w:rsid w:val="00E15EB9"/>
    <w:rsid w:val="00E171D7"/>
    <w:rsid w:val="00E26CBC"/>
    <w:rsid w:val="00E3069E"/>
    <w:rsid w:val="00E37B52"/>
    <w:rsid w:val="00E4115D"/>
    <w:rsid w:val="00E5090B"/>
    <w:rsid w:val="00E515CF"/>
    <w:rsid w:val="00E54EEF"/>
    <w:rsid w:val="00E61DA9"/>
    <w:rsid w:val="00E6648D"/>
    <w:rsid w:val="00E7575A"/>
    <w:rsid w:val="00E8365D"/>
    <w:rsid w:val="00E86376"/>
    <w:rsid w:val="00E86530"/>
    <w:rsid w:val="00E95295"/>
    <w:rsid w:val="00EA1426"/>
    <w:rsid w:val="00EA54ED"/>
    <w:rsid w:val="00EA794B"/>
    <w:rsid w:val="00EB6B0C"/>
    <w:rsid w:val="00EC354C"/>
    <w:rsid w:val="00EC57EF"/>
    <w:rsid w:val="00ED09E1"/>
    <w:rsid w:val="00ED1672"/>
    <w:rsid w:val="00ED3DE4"/>
    <w:rsid w:val="00ED747F"/>
    <w:rsid w:val="00EF0908"/>
    <w:rsid w:val="00EF188D"/>
    <w:rsid w:val="00F00A5C"/>
    <w:rsid w:val="00F22CC8"/>
    <w:rsid w:val="00F32A11"/>
    <w:rsid w:val="00F36872"/>
    <w:rsid w:val="00F41E4C"/>
    <w:rsid w:val="00F54C98"/>
    <w:rsid w:val="00F563D2"/>
    <w:rsid w:val="00F60E7F"/>
    <w:rsid w:val="00F64E05"/>
    <w:rsid w:val="00F67E22"/>
    <w:rsid w:val="00F76A99"/>
    <w:rsid w:val="00F87E69"/>
    <w:rsid w:val="00F92421"/>
    <w:rsid w:val="00FB0677"/>
    <w:rsid w:val="00FB61BF"/>
    <w:rsid w:val="00FB69E4"/>
    <w:rsid w:val="00FB7448"/>
    <w:rsid w:val="00FB793C"/>
    <w:rsid w:val="00FC16D9"/>
    <w:rsid w:val="00FD5A26"/>
    <w:rsid w:val="00FD7246"/>
    <w:rsid w:val="00FE232C"/>
    <w:rsid w:val="00FF5A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68D5"/>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0C097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0C097B"/>
    <w:rPr>
      <w:rFonts w:ascii="Times New Roman" w:eastAsia="宋体" w:hAnsi="Times New Roman" w:cs="Times New Roman"/>
      <w:sz w:val="18"/>
      <w:szCs w:val="18"/>
    </w:rPr>
  </w:style>
  <w:style w:type="paragraph" w:styleId="a4">
    <w:name w:val="footer"/>
    <w:basedOn w:val="a"/>
    <w:link w:val="Char0"/>
    <w:uiPriority w:val="99"/>
    <w:semiHidden/>
    <w:unhideWhenUsed/>
    <w:rsid w:val="000C097B"/>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0C097B"/>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4</Pages>
  <Words>307</Words>
  <Characters>1754</Characters>
  <Application>Microsoft Office Word</Application>
  <DocSecurity>0</DocSecurity>
  <Lines>14</Lines>
  <Paragraphs>4</Paragraphs>
  <ScaleCrop>false</ScaleCrop>
  <Company/>
  <LinksUpToDate>false</LinksUpToDate>
  <CharactersWithSpaces>2057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cwc</dc:creator>
  <cp:lastModifiedBy>cwc</cp:lastModifiedBy>
  <cp:revision>4</cp:revision>
  <dcterms:created xsi:type="dcterms:W3CDTF">2014-05-06T08:17:00Z</dcterms:created>
  <dcterms:modified xsi:type="dcterms:W3CDTF">2014-05-07T02:02:00Z</dcterms:modified>
</cp:coreProperties>
</file>