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pacing w:line="476" w:lineRule="exact"/>
        <w:ind w:left="-1" w:leftChars="-1" w:hanging="1"/>
        <w:jc w:val="center"/>
        <w:outlineLvl w:val="0"/>
        <w:rPr>
          <w:rFonts w:ascii="黑体" w:hAnsi="黑体" w:eastAsia="黑体" w:cs="Microsoft JhengHei"/>
          <w:b/>
          <w:kern w:val="0"/>
          <w:sz w:val="36"/>
          <w:szCs w:val="36"/>
        </w:rPr>
      </w:pPr>
      <w:r>
        <w:rPr>
          <w:rFonts w:hint="eastAsia" w:ascii="黑体" w:hAnsi="黑体" w:eastAsia="黑体" w:cs="Microsoft JhengHei"/>
          <w:b/>
          <w:spacing w:val="-24"/>
          <w:kern w:val="0"/>
          <w:sz w:val="36"/>
          <w:szCs w:val="36"/>
        </w:rPr>
        <w:t>华</w:t>
      </w:r>
      <w:r>
        <w:rPr>
          <w:rFonts w:ascii="黑体" w:hAnsi="黑体" w:eastAsia="黑体" w:cs="Microsoft JhengHei"/>
          <w:b/>
          <w:spacing w:val="-24"/>
          <w:kern w:val="0"/>
          <w:sz w:val="36"/>
          <w:szCs w:val="36"/>
        </w:rPr>
        <w:t>南理工大学“</w:t>
      </w:r>
      <w:r>
        <w:rPr>
          <w:rFonts w:hint="eastAsia" w:ascii="黑体" w:hAnsi="黑体" w:eastAsia="黑体" w:cs="Microsoft JhengHei"/>
          <w:b/>
          <w:spacing w:val="-24"/>
          <w:kern w:val="0"/>
          <w:sz w:val="36"/>
          <w:szCs w:val="36"/>
        </w:rPr>
        <w:t>双一流”建设项目预算调整流程</w:t>
      </w:r>
    </w:p>
    <w:p>
      <w:pPr>
        <w:kinsoku w:val="0"/>
        <w:overflowPunct w:val="0"/>
        <w:autoSpaceDE w:val="0"/>
        <w:autoSpaceDN w:val="0"/>
        <w:adjustRightInd w:val="0"/>
        <w:spacing w:line="476" w:lineRule="exact"/>
        <w:ind w:left="451"/>
        <w:jc w:val="center"/>
        <w:outlineLvl w:val="0"/>
        <w:rPr>
          <w:rFonts w:ascii="华文仿宋" w:hAnsi="华文仿宋" w:eastAsia="华文仿宋" w:cs="Microsoft JhengHei"/>
          <w:b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cs="Times New Roman" w:asciiTheme="minorEastAsia" w:hAnsiTheme="minorEastAsia"/>
          <w:sz w:val="32"/>
          <w:szCs w:val="28"/>
        </w:rPr>
      </w:pPr>
      <w:bookmarkStart w:id="0" w:name="_GoBack"/>
      <w:r>
        <w:rPr>
          <w:rFonts w:hint="eastAsia" w:cs="Times New Roman" w:asciiTheme="minorEastAsia" w:hAnsiTheme="minorEastAsia"/>
          <w:sz w:val="32"/>
          <w:szCs w:val="28"/>
        </w:rPr>
        <w:t>根据</w:t>
      </w:r>
      <w:r>
        <w:rPr>
          <w:rFonts w:cs="Times New Roman" w:asciiTheme="minorEastAsia" w:hAnsiTheme="minorEastAsia"/>
          <w:sz w:val="32"/>
          <w:szCs w:val="28"/>
        </w:rPr>
        <w:t>学校决定，</w:t>
      </w:r>
      <w:r>
        <w:rPr>
          <w:rFonts w:hint="eastAsia" w:cs="Times New Roman" w:asciiTheme="minorEastAsia" w:hAnsiTheme="minorEastAsia"/>
          <w:sz w:val="32"/>
          <w:szCs w:val="28"/>
        </w:rPr>
        <w:t>为保证“双一流”建设项目实际支出与批复预算相符，同时体现预算管理的灵活性，“双一流”建设项目中的科学研究类项目参考《华南理工大学科研项目预算及结余经费管理办法（2016年修订）》第九条规定，</w:t>
      </w:r>
      <w:r>
        <w:rPr>
          <w:rFonts w:hint="eastAsia" w:cs="Times New Roman" w:asciiTheme="minorEastAsia" w:hAnsiTheme="minorEastAsia"/>
          <w:b/>
          <w:sz w:val="32"/>
          <w:szCs w:val="28"/>
        </w:rPr>
        <w:t>在</w:t>
      </w:r>
      <w:r>
        <w:rPr>
          <w:rFonts w:cs="Times New Roman" w:asciiTheme="minorEastAsia" w:hAnsiTheme="minorEastAsia"/>
          <w:b/>
          <w:sz w:val="32"/>
          <w:szCs w:val="28"/>
        </w:rPr>
        <w:t>总预算额度不变的情</w:t>
      </w:r>
      <w:r>
        <w:rPr>
          <w:rFonts w:hint="eastAsia" w:cs="Times New Roman" w:asciiTheme="minorEastAsia" w:hAnsiTheme="minorEastAsia"/>
          <w:b/>
          <w:sz w:val="32"/>
          <w:szCs w:val="28"/>
        </w:rPr>
        <w:t>况</w:t>
      </w:r>
      <w:r>
        <w:rPr>
          <w:rFonts w:cs="Times New Roman" w:asciiTheme="minorEastAsia" w:hAnsiTheme="minorEastAsia"/>
          <w:b/>
          <w:sz w:val="32"/>
          <w:szCs w:val="28"/>
        </w:rPr>
        <w:t>下，</w:t>
      </w:r>
      <w:r>
        <w:rPr>
          <w:rFonts w:hint="eastAsia" w:cs="Times New Roman" w:asciiTheme="minorEastAsia" w:hAnsiTheme="minorEastAsia"/>
          <w:sz w:val="32"/>
          <w:szCs w:val="28"/>
        </w:rPr>
        <w:t>通过财务管理系统对项目预算进行控制：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360" w:lineRule="auto"/>
        <w:ind w:firstLine="643" w:firstLineChars="200"/>
        <w:textAlignment w:val="auto"/>
        <w:rPr>
          <w:rFonts w:cs="Times New Roman" w:asciiTheme="minorEastAsia" w:hAnsiTheme="minorEastAsia"/>
          <w:b/>
          <w:sz w:val="32"/>
          <w:szCs w:val="28"/>
        </w:rPr>
      </w:pPr>
      <w:r>
        <w:rPr>
          <w:rFonts w:cs="Times New Roman" w:asciiTheme="minorEastAsia" w:hAnsiTheme="minorEastAsia"/>
          <w:b/>
          <w:sz w:val="32"/>
          <w:szCs w:val="28"/>
        </w:rPr>
        <w:t>1</w:t>
      </w:r>
      <w:r>
        <w:rPr>
          <w:rFonts w:hint="eastAsia" w:cs="Times New Roman" w:asciiTheme="minorEastAsia" w:hAnsiTheme="minorEastAsia"/>
          <w:b/>
          <w:sz w:val="32"/>
          <w:szCs w:val="28"/>
          <w:lang w:val="en-US" w:eastAsia="zh-CN"/>
        </w:rPr>
        <w:t>.</w:t>
      </w:r>
      <w:r>
        <w:rPr>
          <w:rFonts w:hint="eastAsia" w:cs="Times New Roman" w:asciiTheme="minorEastAsia" w:hAnsiTheme="minorEastAsia"/>
          <w:b/>
          <w:sz w:val="32"/>
          <w:szCs w:val="28"/>
        </w:rPr>
        <w:t>对专家咨询费、劳务费、差旅费、会议费、业务出国（境）费按批复预算额度进行上限控制；其中，差旅费、会议费和业务出国（境）费进</w:t>
      </w:r>
      <w:r>
        <w:rPr>
          <w:rFonts w:cs="Times New Roman" w:asciiTheme="minorEastAsia" w:hAnsiTheme="minorEastAsia"/>
          <w:b/>
          <w:sz w:val="32"/>
          <w:szCs w:val="28"/>
        </w:rPr>
        <w:t>行</w:t>
      </w:r>
      <w:r>
        <w:rPr>
          <w:rFonts w:hint="eastAsia" w:cs="Times New Roman" w:asciiTheme="minorEastAsia" w:hAnsiTheme="minorEastAsia"/>
          <w:b/>
          <w:sz w:val="32"/>
          <w:szCs w:val="28"/>
        </w:rPr>
        <w:t>合并</w:t>
      </w:r>
      <w:r>
        <w:rPr>
          <w:rFonts w:cs="Times New Roman" w:asciiTheme="minorEastAsia" w:hAnsiTheme="minorEastAsia"/>
          <w:b/>
          <w:sz w:val="32"/>
          <w:szCs w:val="28"/>
        </w:rPr>
        <w:t>预算</w:t>
      </w:r>
      <w:r>
        <w:rPr>
          <w:rFonts w:hint="eastAsia" w:cs="Times New Roman" w:asciiTheme="minorEastAsia" w:hAnsiTheme="minorEastAsia"/>
          <w:b/>
          <w:sz w:val="32"/>
          <w:szCs w:val="28"/>
        </w:rPr>
        <w:t>额度</w:t>
      </w:r>
      <w:r>
        <w:rPr>
          <w:rFonts w:cs="Times New Roman" w:asciiTheme="minorEastAsia" w:hAnsiTheme="minorEastAsia"/>
          <w:b/>
          <w:sz w:val="32"/>
          <w:szCs w:val="28"/>
        </w:rPr>
        <w:t>上</w:t>
      </w:r>
      <w:r>
        <w:rPr>
          <w:rFonts w:hint="eastAsia" w:cs="Times New Roman" w:asciiTheme="minorEastAsia" w:hAnsiTheme="minorEastAsia"/>
          <w:b/>
          <w:sz w:val="32"/>
          <w:szCs w:val="28"/>
        </w:rPr>
        <w:t>限</w:t>
      </w:r>
      <w:r>
        <w:rPr>
          <w:rFonts w:cs="Times New Roman" w:asciiTheme="minorEastAsia" w:hAnsiTheme="minorEastAsia"/>
          <w:b/>
          <w:sz w:val="32"/>
          <w:szCs w:val="28"/>
        </w:rPr>
        <w:t>控制</w:t>
      </w:r>
      <w:r>
        <w:rPr>
          <w:rFonts w:hint="eastAsia" w:cs="Times New Roman" w:asciiTheme="minorEastAsia" w:hAnsiTheme="minorEastAsia"/>
          <w:b/>
          <w:sz w:val="32"/>
          <w:szCs w:val="28"/>
        </w:rPr>
        <w:t>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360" w:lineRule="auto"/>
        <w:ind w:firstLine="643" w:firstLineChars="200"/>
        <w:textAlignment w:val="auto"/>
        <w:rPr>
          <w:rFonts w:hint="eastAsia" w:cs="Times New Roman" w:asciiTheme="minorEastAsia" w:hAnsiTheme="minorEastAsia"/>
          <w:b/>
          <w:sz w:val="32"/>
          <w:szCs w:val="28"/>
        </w:rPr>
      </w:pPr>
      <w:r>
        <w:rPr>
          <w:rFonts w:cs="Times New Roman" w:asciiTheme="minorEastAsia" w:hAnsiTheme="minorEastAsia"/>
          <w:b/>
          <w:sz w:val="32"/>
          <w:szCs w:val="28"/>
        </w:rPr>
        <w:t>2</w:t>
      </w:r>
      <w:r>
        <w:rPr>
          <w:rFonts w:hint="eastAsia" w:cs="Times New Roman" w:asciiTheme="minorEastAsia" w:hAnsiTheme="minorEastAsia"/>
          <w:b/>
          <w:sz w:val="32"/>
          <w:szCs w:val="28"/>
          <w:lang w:val="en-US" w:eastAsia="zh-CN"/>
        </w:rPr>
        <w:t>.</w:t>
      </w:r>
      <w:r>
        <w:rPr>
          <w:rFonts w:hint="eastAsia" w:cs="Times New Roman" w:asciiTheme="minorEastAsia" w:hAnsiTheme="minorEastAsia"/>
          <w:b/>
          <w:sz w:val="32"/>
          <w:szCs w:val="28"/>
        </w:rPr>
        <w:t>对设备购置费、维修费、材料费、其他支出等预算科目，学校财务管理系统按照单项科目上下不超过该科目核定预算的30%浮动。在规定</w:t>
      </w:r>
      <w:r>
        <w:rPr>
          <w:rFonts w:cs="Times New Roman" w:asciiTheme="minorEastAsia" w:hAnsiTheme="minorEastAsia"/>
          <w:b/>
          <w:sz w:val="32"/>
          <w:szCs w:val="28"/>
        </w:rPr>
        <w:t>浮动范围内</w:t>
      </w:r>
      <w:r>
        <w:rPr>
          <w:rFonts w:hint="eastAsia" w:cs="Times New Roman" w:asciiTheme="minorEastAsia" w:hAnsiTheme="minorEastAsia"/>
          <w:b/>
          <w:sz w:val="32"/>
          <w:szCs w:val="28"/>
        </w:rPr>
        <w:t>的</w:t>
      </w:r>
      <w:r>
        <w:rPr>
          <w:rFonts w:cs="Times New Roman" w:asciiTheme="minorEastAsia" w:hAnsiTheme="minorEastAsia"/>
          <w:b/>
          <w:sz w:val="32"/>
          <w:szCs w:val="28"/>
        </w:rPr>
        <w:t>预算调整</w:t>
      </w:r>
      <w:r>
        <w:rPr>
          <w:rFonts w:hint="eastAsia" w:cs="Times New Roman" w:asciiTheme="minorEastAsia" w:hAnsiTheme="minorEastAsia"/>
          <w:b/>
          <w:sz w:val="32"/>
          <w:szCs w:val="28"/>
        </w:rPr>
        <w:t>，</w:t>
      </w:r>
      <w:r>
        <w:rPr>
          <w:rFonts w:hint="eastAsia" w:cs="Times New Roman" w:asciiTheme="minorEastAsia" w:hAnsiTheme="minorEastAsia"/>
          <w:sz w:val="32"/>
          <w:szCs w:val="28"/>
        </w:rPr>
        <w:t>由</w:t>
      </w:r>
      <w:r>
        <w:rPr>
          <w:rFonts w:cs="Times New Roman" w:asciiTheme="minorEastAsia" w:hAnsiTheme="minorEastAsia"/>
          <w:sz w:val="32"/>
          <w:szCs w:val="28"/>
        </w:rPr>
        <w:t>学校财务管理系统自动识别，</w:t>
      </w:r>
      <w:r>
        <w:rPr>
          <w:rFonts w:hint="eastAsia" w:cs="Times New Roman" w:asciiTheme="minorEastAsia" w:hAnsiTheme="minorEastAsia"/>
          <w:b/>
          <w:sz w:val="32"/>
          <w:szCs w:val="28"/>
        </w:rPr>
        <w:t>无</w:t>
      </w:r>
      <w:r>
        <w:rPr>
          <w:rFonts w:cs="Times New Roman" w:asciiTheme="minorEastAsia" w:hAnsiTheme="minorEastAsia"/>
          <w:b/>
          <w:sz w:val="32"/>
          <w:szCs w:val="28"/>
        </w:rPr>
        <w:t>需</w:t>
      </w:r>
      <w:r>
        <w:rPr>
          <w:rFonts w:hint="eastAsia" w:cs="Times New Roman" w:asciiTheme="minorEastAsia" w:hAnsiTheme="minorEastAsia"/>
          <w:b/>
          <w:sz w:val="32"/>
          <w:szCs w:val="28"/>
          <w:lang w:eastAsia="zh-CN"/>
        </w:rPr>
        <w:t>“</w:t>
      </w:r>
      <w:r>
        <w:rPr>
          <w:rFonts w:hint="eastAsia" w:cs="Times New Roman" w:asciiTheme="minorEastAsia" w:hAnsiTheme="minorEastAsia"/>
          <w:b/>
          <w:sz w:val="32"/>
          <w:szCs w:val="28"/>
          <w:lang w:val="en-US" w:eastAsia="zh-CN"/>
        </w:rPr>
        <w:t>双一流</w:t>
      </w:r>
      <w:r>
        <w:rPr>
          <w:rFonts w:hint="eastAsia" w:cs="Times New Roman" w:asciiTheme="minorEastAsia" w:hAnsiTheme="minorEastAsia"/>
          <w:b/>
          <w:sz w:val="32"/>
          <w:szCs w:val="28"/>
          <w:lang w:eastAsia="zh-CN"/>
        </w:rPr>
        <w:t>”</w:t>
      </w:r>
      <w:r>
        <w:rPr>
          <w:rFonts w:hint="eastAsia" w:cs="Times New Roman" w:asciiTheme="minorEastAsia" w:hAnsiTheme="minorEastAsia"/>
          <w:b/>
          <w:sz w:val="32"/>
          <w:szCs w:val="28"/>
        </w:rPr>
        <w:t>建设办公室</w:t>
      </w:r>
      <w:r>
        <w:rPr>
          <w:rFonts w:cs="Times New Roman" w:asciiTheme="minorEastAsia" w:hAnsiTheme="minorEastAsia"/>
          <w:b/>
          <w:sz w:val="32"/>
          <w:szCs w:val="28"/>
        </w:rPr>
        <w:t>审批</w:t>
      </w:r>
      <w:r>
        <w:rPr>
          <w:rFonts w:hint="eastAsia" w:cs="Times New Roman" w:asciiTheme="minorEastAsia" w:hAnsiTheme="minorEastAsia"/>
          <w:b/>
          <w:sz w:val="32"/>
          <w:szCs w:val="28"/>
        </w:rPr>
        <w:t>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360" w:lineRule="auto"/>
        <w:ind w:firstLine="640" w:firstLineChars="200"/>
        <w:textAlignment w:val="auto"/>
        <w:rPr>
          <w:rFonts w:cs="Times New Roman" w:asciiTheme="minorEastAsia" w:hAnsiTheme="minorEastAsia"/>
          <w:sz w:val="32"/>
          <w:szCs w:val="28"/>
        </w:rPr>
      </w:pPr>
      <w:r>
        <w:rPr>
          <w:rFonts w:cs="Times New Roman" w:asciiTheme="minorEastAsia" w:hAnsiTheme="minorEastAsia"/>
          <w:sz w:val="32"/>
          <w:szCs w:val="28"/>
        </w:rPr>
        <w:t>3</w:t>
      </w:r>
      <w:r>
        <w:rPr>
          <w:rFonts w:hint="eastAsia" w:cs="Times New Roman" w:asciiTheme="minorEastAsia" w:hAnsiTheme="minorEastAsia"/>
          <w:sz w:val="32"/>
          <w:szCs w:val="28"/>
          <w:lang w:val="en-US" w:eastAsia="zh-CN"/>
        </w:rPr>
        <w:t>.</w:t>
      </w:r>
      <w:r>
        <w:rPr>
          <w:rFonts w:hint="eastAsia" w:cs="Times New Roman" w:asciiTheme="minorEastAsia" w:hAnsiTheme="minorEastAsia"/>
          <w:sz w:val="32"/>
          <w:szCs w:val="28"/>
        </w:rPr>
        <w:t>对于</w:t>
      </w:r>
      <w:r>
        <w:rPr>
          <w:rFonts w:cs="Times New Roman" w:asciiTheme="minorEastAsia" w:hAnsiTheme="minorEastAsia"/>
          <w:sz w:val="32"/>
          <w:szCs w:val="28"/>
        </w:rPr>
        <w:t>超出</w:t>
      </w:r>
      <w:r>
        <w:rPr>
          <w:rFonts w:hint="eastAsia" w:cs="Times New Roman" w:asciiTheme="minorEastAsia" w:hAnsiTheme="minorEastAsia"/>
          <w:sz w:val="32"/>
          <w:szCs w:val="28"/>
        </w:rPr>
        <w:t>项目单项科目</w:t>
      </w:r>
      <w:r>
        <w:rPr>
          <w:rFonts w:cs="Times New Roman" w:asciiTheme="minorEastAsia" w:hAnsiTheme="minorEastAsia"/>
          <w:sz w:val="32"/>
          <w:szCs w:val="28"/>
        </w:rPr>
        <w:t>预算浮动范围或是对</w:t>
      </w:r>
      <w:r>
        <w:rPr>
          <w:rFonts w:hint="eastAsia" w:cs="Times New Roman" w:asciiTheme="minorEastAsia" w:hAnsiTheme="minorEastAsia"/>
          <w:sz w:val="32"/>
          <w:szCs w:val="28"/>
        </w:rPr>
        <w:t>项目科目间预算</w:t>
      </w:r>
      <w:r>
        <w:rPr>
          <w:rFonts w:cs="Times New Roman" w:asciiTheme="minorEastAsia" w:hAnsiTheme="minorEastAsia"/>
          <w:sz w:val="32"/>
          <w:szCs w:val="28"/>
        </w:rPr>
        <w:t>调整，应按规定履行相关调整程序。具体</w:t>
      </w:r>
      <w:r>
        <w:rPr>
          <w:rFonts w:hint="eastAsia" w:cs="Times New Roman" w:asciiTheme="minorEastAsia" w:hAnsiTheme="minorEastAsia"/>
          <w:sz w:val="32"/>
          <w:szCs w:val="28"/>
        </w:rPr>
        <w:t>如下</w:t>
      </w:r>
      <w:r>
        <w:rPr>
          <w:rFonts w:cs="Times New Roman" w:asciiTheme="minorEastAsia" w:hAnsiTheme="minorEastAsia"/>
          <w:sz w:val="32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118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right="111" w:firstLine="640" w:firstLineChars="200"/>
        <w:textAlignment w:val="auto"/>
        <w:rPr>
          <w:rFonts w:cs="Times New Roman" w:asciiTheme="minorEastAsia" w:hAnsiTheme="minorEastAsia"/>
          <w:b/>
          <w:sz w:val="32"/>
          <w:szCs w:val="28"/>
        </w:rPr>
      </w:pPr>
      <w:r>
        <w:rPr>
          <w:rFonts w:hint="eastAsia" w:cs="Times New Roman" w:asciiTheme="minorEastAsia" w:hAnsiTheme="minorEastAsia"/>
          <w:sz w:val="32"/>
          <w:szCs w:val="28"/>
        </w:rPr>
        <w:t>（</w:t>
      </w:r>
      <w:r>
        <w:rPr>
          <w:rFonts w:cs="Times New Roman" w:asciiTheme="minorEastAsia" w:hAnsiTheme="minorEastAsia"/>
          <w:sz w:val="32"/>
          <w:szCs w:val="28"/>
        </w:rPr>
        <w:t>1</w:t>
      </w:r>
      <w:r>
        <w:rPr>
          <w:rFonts w:hint="eastAsia" w:cs="Times New Roman" w:asciiTheme="minorEastAsia" w:hAnsiTheme="minorEastAsia"/>
          <w:sz w:val="32"/>
          <w:szCs w:val="28"/>
        </w:rPr>
        <w:t>）对项目执行中因特殊情况确需调剂的内容，须经组织专家论证</w:t>
      </w:r>
      <w:r>
        <w:rPr>
          <w:rFonts w:hint="eastAsia" w:cs="Times New Roman" w:asciiTheme="minorEastAsia" w:hAnsiTheme="minorEastAsia"/>
          <w:b/>
          <w:sz w:val="32"/>
          <w:szCs w:val="28"/>
        </w:rPr>
        <w:t>（至少五名正高级职称专家，</w:t>
      </w:r>
      <w:r>
        <w:rPr>
          <w:rFonts w:cs="Times New Roman" w:asciiTheme="minorEastAsia" w:hAnsiTheme="minorEastAsia"/>
          <w:b/>
          <w:sz w:val="32"/>
          <w:szCs w:val="28"/>
        </w:rPr>
        <w:t>不含项目负责人</w:t>
      </w:r>
      <w:r>
        <w:rPr>
          <w:rFonts w:hint="eastAsia" w:cs="Times New Roman" w:asciiTheme="minorEastAsia" w:hAnsiTheme="minorEastAsia"/>
          <w:b/>
          <w:sz w:val="32"/>
          <w:szCs w:val="28"/>
        </w:rPr>
        <w:t>），并形成会议纪要作为佐证材料；</w:t>
      </w:r>
    </w:p>
    <w:p>
      <w:pPr>
        <w:keepNext w:val="0"/>
        <w:keepLines w:val="0"/>
        <w:pageBreakBefore w:val="0"/>
        <w:widowControl w:val="0"/>
        <w:tabs>
          <w:tab w:val="left" w:pos="118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right="111" w:firstLine="640" w:firstLineChars="200"/>
        <w:textAlignment w:val="auto"/>
        <w:rPr>
          <w:rFonts w:cs="Times New Roman" w:asciiTheme="minorEastAsia" w:hAnsiTheme="minorEastAsia"/>
          <w:sz w:val="32"/>
          <w:szCs w:val="28"/>
        </w:rPr>
      </w:pPr>
      <w:r>
        <w:rPr>
          <w:rFonts w:hint="eastAsia" w:cs="Times New Roman" w:asciiTheme="minorEastAsia" w:hAnsiTheme="minorEastAsia"/>
          <w:sz w:val="32"/>
          <w:szCs w:val="28"/>
        </w:rPr>
        <w:t>（2）调整</w:t>
      </w:r>
      <w:r>
        <w:rPr>
          <w:rFonts w:cs="Times New Roman" w:asciiTheme="minorEastAsia" w:hAnsiTheme="minorEastAsia"/>
          <w:sz w:val="32"/>
          <w:szCs w:val="28"/>
        </w:rPr>
        <w:t>额度涉及5</w:t>
      </w:r>
      <w:r>
        <w:rPr>
          <w:rFonts w:hint="eastAsia" w:cs="Times New Roman" w:asciiTheme="minorEastAsia" w:hAnsiTheme="minorEastAsia"/>
          <w:sz w:val="32"/>
          <w:szCs w:val="28"/>
        </w:rPr>
        <w:t>0万</w:t>
      </w:r>
      <w:r>
        <w:rPr>
          <w:rFonts w:hint="eastAsia" w:cs="Times New Roman" w:asciiTheme="minorEastAsia" w:hAnsiTheme="minorEastAsia"/>
          <w:sz w:val="32"/>
          <w:szCs w:val="28"/>
          <w:lang w:val="en-US" w:eastAsia="zh-CN"/>
        </w:rPr>
        <w:t>元</w:t>
      </w:r>
      <w:r>
        <w:rPr>
          <w:rFonts w:cs="Times New Roman" w:asciiTheme="minorEastAsia" w:hAnsiTheme="minorEastAsia"/>
          <w:sz w:val="32"/>
          <w:szCs w:val="28"/>
        </w:rPr>
        <w:t>以上</w:t>
      </w:r>
      <w:r>
        <w:rPr>
          <w:rFonts w:hint="eastAsia" w:cs="Times New Roman" w:asciiTheme="minorEastAsia" w:hAnsiTheme="minorEastAsia"/>
          <w:sz w:val="32"/>
          <w:szCs w:val="28"/>
        </w:rPr>
        <w:t>（含</w:t>
      </w:r>
      <w:r>
        <w:rPr>
          <w:rFonts w:cs="Times New Roman" w:asciiTheme="minorEastAsia" w:hAnsiTheme="minorEastAsia"/>
          <w:sz w:val="32"/>
          <w:szCs w:val="28"/>
        </w:rPr>
        <w:t>）</w:t>
      </w:r>
      <w:r>
        <w:rPr>
          <w:rFonts w:hint="eastAsia" w:cs="Times New Roman" w:asciiTheme="minorEastAsia" w:hAnsiTheme="minorEastAsia"/>
          <w:sz w:val="32"/>
          <w:szCs w:val="28"/>
        </w:rPr>
        <w:t>，</w:t>
      </w:r>
      <w:r>
        <w:rPr>
          <w:rFonts w:cs="Times New Roman" w:asciiTheme="minorEastAsia" w:hAnsiTheme="minorEastAsia"/>
          <w:sz w:val="32"/>
          <w:szCs w:val="28"/>
        </w:rPr>
        <w:t>需</w:t>
      </w:r>
      <w:r>
        <w:rPr>
          <w:rFonts w:hint="eastAsia" w:cs="Times New Roman" w:asciiTheme="minorEastAsia" w:hAnsiTheme="minorEastAsia"/>
          <w:sz w:val="32"/>
          <w:szCs w:val="28"/>
        </w:rPr>
        <w:t>同时</w:t>
      </w:r>
      <w:r>
        <w:rPr>
          <w:rFonts w:cs="Times New Roman" w:asciiTheme="minorEastAsia" w:hAnsiTheme="minorEastAsia"/>
          <w:sz w:val="32"/>
          <w:szCs w:val="28"/>
        </w:rPr>
        <w:t>有设备专家</w:t>
      </w:r>
      <w:r>
        <w:rPr>
          <w:rFonts w:hint="eastAsia" w:cs="Times New Roman" w:asciiTheme="minorEastAsia" w:hAnsiTheme="minorEastAsia"/>
          <w:sz w:val="32"/>
          <w:szCs w:val="28"/>
        </w:rPr>
        <w:t>和</w:t>
      </w:r>
      <w:r>
        <w:rPr>
          <w:rFonts w:cs="Times New Roman" w:asciiTheme="minorEastAsia" w:hAnsiTheme="minorEastAsia"/>
          <w:sz w:val="32"/>
          <w:szCs w:val="28"/>
        </w:rPr>
        <w:t>财务专家</w:t>
      </w:r>
      <w:r>
        <w:rPr>
          <w:rFonts w:hint="eastAsia" w:cs="Times New Roman" w:asciiTheme="minorEastAsia" w:hAnsiTheme="minorEastAsia"/>
          <w:sz w:val="32"/>
          <w:szCs w:val="28"/>
        </w:rPr>
        <w:t>各</w:t>
      </w:r>
      <w:r>
        <w:rPr>
          <w:rFonts w:cs="Times New Roman" w:asciiTheme="minorEastAsia" w:hAnsiTheme="minorEastAsia"/>
          <w:sz w:val="32"/>
          <w:szCs w:val="28"/>
        </w:rPr>
        <w:t>一名及以上</w:t>
      </w:r>
      <w:r>
        <w:rPr>
          <w:rFonts w:hint="eastAsia" w:cs="Times New Roman" w:asciiTheme="minorEastAsia" w:hAnsiTheme="minorEastAsia"/>
          <w:sz w:val="32"/>
          <w:szCs w:val="28"/>
        </w:rPr>
        <w:t>进行</w:t>
      </w:r>
      <w:r>
        <w:rPr>
          <w:rFonts w:cs="Times New Roman" w:asciiTheme="minorEastAsia" w:hAnsiTheme="minorEastAsia"/>
          <w:sz w:val="32"/>
          <w:szCs w:val="28"/>
        </w:rPr>
        <w:t>论证；</w:t>
      </w:r>
    </w:p>
    <w:p>
      <w:pPr>
        <w:keepNext w:val="0"/>
        <w:keepLines w:val="0"/>
        <w:pageBreakBefore w:val="0"/>
        <w:widowControl w:val="0"/>
        <w:tabs>
          <w:tab w:val="left" w:pos="118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right="111" w:firstLine="640" w:firstLineChars="200"/>
        <w:textAlignment w:val="auto"/>
        <w:rPr>
          <w:rFonts w:cs="Times New Roman" w:asciiTheme="minorEastAsia" w:hAnsiTheme="minorEastAsia"/>
          <w:sz w:val="32"/>
          <w:szCs w:val="28"/>
        </w:rPr>
      </w:pPr>
      <w:r>
        <w:rPr>
          <w:rFonts w:hint="eastAsia" w:cs="Times New Roman" w:asciiTheme="minorEastAsia" w:hAnsiTheme="minorEastAsia"/>
          <w:sz w:val="32"/>
          <w:szCs w:val="28"/>
        </w:rPr>
        <w:t>（</w:t>
      </w:r>
      <w:r>
        <w:rPr>
          <w:rFonts w:cs="Times New Roman" w:asciiTheme="minorEastAsia" w:hAnsiTheme="minorEastAsia"/>
          <w:sz w:val="32"/>
          <w:szCs w:val="28"/>
        </w:rPr>
        <w:t>3</w:t>
      </w:r>
      <w:r>
        <w:rPr>
          <w:rFonts w:hint="eastAsia" w:cs="Times New Roman" w:asciiTheme="minorEastAsia" w:hAnsiTheme="minorEastAsia"/>
          <w:sz w:val="32"/>
          <w:szCs w:val="28"/>
        </w:rPr>
        <w:t>）项目负责人按要求填写“华南理工大学‘双一流’建设项目经费预算调整审批表”（以下简称“审批表”），并报所在单位审核，</w:t>
      </w:r>
      <w:r>
        <w:rPr>
          <w:rFonts w:cs="Times New Roman" w:asciiTheme="minorEastAsia" w:hAnsiTheme="minorEastAsia"/>
          <w:sz w:val="32"/>
          <w:szCs w:val="28"/>
        </w:rPr>
        <w:t>由单位负责人</w:t>
      </w:r>
      <w:r>
        <w:rPr>
          <w:rFonts w:hint="eastAsia" w:cs="Times New Roman" w:asciiTheme="minorEastAsia" w:hAnsiTheme="minorEastAsia"/>
          <w:sz w:val="32"/>
          <w:szCs w:val="28"/>
        </w:rPr>
        <w:t>签字并</w:t>
      </w:r>
      <w:r>
        <w:rPr>
          <w:rFonts w:cs="Times New Roman" w:asciiTheme="minorEastAsia" w:hAnsiTheme="minorEastAsia"/>
          <w:sz w:val="32"/>
          <w:szCs w:val="28"/>
        </w:rPr>
        <w:t>加盖</w:t>
      </w:r>
      <w:r>
        <w:rPr>
          <w:rFonts w:hint="eastAsia" w:cs="Times New Roman" w:asciiTheme="minorEastAsia" w:hAnsiTheme="minorEastAsia"/>
          <w:sz w:val="32"/>
          <w:szCs w:val="28"/>
        </w:rPr>
        <w:t>单</w:t>
      </w:r>
      <w:r>
        <w:rPr>
          <w:rFonts w:cs="Times New Roman" w:asciiTheme="minorEastAsia" w:hAnsiTheme="minorEastAsia"/>
          <w:sz w:val="32"/>
          <w:szCs w:val="28"/>
        </w:rPr>
        <w:t>位公章</w:t>
      </w:r>
      <w:r>
        <w:rPr>
          <w:rFonts w:hint="eastAsia" w:cs="Times New Roman" w:asciiTheme="minorEastAsia" w:hAnsiTheme="minorEastAsia"/>
          <w:sz w:val="32"/>
          <w:szCs w:val="28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118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right="111" w:firstLine="640" w:firstLineChars="200"/>
        <w:textAlignment w:val="auto"/>
        <w:rPr>
          <w:rFonts w:cs="Times New Roman" w:asciiTheme="minorEastAsia" w:hAnsiTheme="minorEastAsia"/>
          <w:sz w:val="32"/>
          <w:szCs w:val="28"/>
        </w:rPr>
      </w:pPr>
      <w:r>
        <w:rPr>
          <w:rFonts w:hint="eastAsia" w:cs="Times New Roman" w:asciiTheme="minorEastAsia" w:hAnsiTheme="minorEastAsia"/>
          <w:sz w:val="32"/>
          <w:szCs w:val="28"/>
        </w:rPr>
        <w:t>（4）原则上每年度</w:t>
      </w:r>
      <w:r>
        <w:rPr>
          <w:rFonts w:cs="Times New Roman" w:asciiTheme="minorEastAsia" w:hAnsiTheme="minorEastAsia"/>
          <w:sz w:val="32"/>
          <w:szCs w:val="28"/>
        </w:rPr>
        <w:t>只允许</w:t>
      </w:r>
      <w:r>
        <w:rPr>
          <w:rFonts w:hint="eastAsia" w:cs="Times New Roman" w:asciiTheme="minorEastAsia" w:hAnsiTheme="minorEastAsia"/>
          <w:sz w:val="32"/>
          <w:szCs w:val="28"/>
        </w:rPr>
        <w:t>调整一次；</w:t>
      </w:r>
    </w:p>
    <w:p>
      <w:pPr>
        <w:keepNext w:val="0"/>
        <w:keepLines w:val="0"/>
        <w:pageBreakBefore w:val="0"/>
        <w:widowControl w:val="0"/>
        <w:tabs>
          <w:tab w:val="left" w:pos="118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right="111" w:firstLine="640" w:firstLineChars="200"/>
        <w:textAlignment w:val="auto"/>
        <w:rPr>
          <w:rFonts w:ascii="华文楷体" w:hAnsi="华文楷体" w:eastAsia="华文楷体" w:cs="Times New Roman"/>
          <w:sz w:val="32"/>
          <w:szCs w:val="28"/>
        </w:rPr>
      </w:pPr>
      <w:r>
        <w:rPr>
          <w:rFonts w:hint="eastAsia" w:cs="Times New Roman" w:asciiTheme="minorEastAsia" w:hAnsiTheme="minorEastAsia"/>
          <w:sz w:val="32"/>
          <w:szCs w:val="28"/>
        </w:rPr>
        <w:t>（</w:t>
      </w:r>
      <w:r>
        <w:rPr>
          <w:rFonts w:cs="Times New Roman" w:asciiTheme="minorEastAsia" w:hAnsiTheme="minorEastAsia"/>
          <w:sz w:val="32"/>
          <w:szCs w:val="28"/>
        </w:rPr>
        <w:t>5</w:t>
      </w:r>
      <w:r>
        <w:rPr>
          <w:rFonts w:hint="eastAsia" w:cs="Times New Roman" w:asciiTheme="minorEastAsia" w:hAnsiTheme="minorEastAsia"/>
          <w:sz w:val="32"/>
          <w:szCs w:val="28"/>
        </w:rPr>
        <w:t>）学校</w:t>
      </w:r>
      <w:r>
        <w:rPr>
          <w:rFonts w:hint="eastAsia" w:cs="Times New Roman" w:asciiTheme="minorEastAsia" w:hAnsiTheme="minorEastAsia"/>
          <w:sz w:val="32"/>
          <w:szCs w:val="28"/>
          <w:lang w:eastAsia="zh-CN"/>
        </w:rPr>
        <w:t>“</w:t>
      </w:r>
      <w:r>
        <w:rPr>
          <w:rFonts w:hint="eastAsia" w:cs="Times New Roman" w:asciiTheme="minorEastAsia" w:hAnsiTheme="minorEastAsia"/>
          <w:sz w:val="32"/>
          <w:szCs w:val="28"/>
          <w:lang w:val="en-US" w:eastAsia="zh-CN"/>
        </w:rPr>
        <w:t>双一流</w:t>
      </w:r>
      <w:r>
        <w:rPr>
          <w:rFonts w:hint="eastAsia" w:cs="Times New Roman" w:asciiTheme="minorEastAsia" w:hAnsiTheme="minorEastAsia"/>
          <w:sz w:val="32"/>
          <w:szCs w:val="28"/>
          <w:lang w:eastAsia="zh-CN"/>
        </w:rPr>
        <w:t>”</w:t>
      </w:r>
      <w:r>
        <w:rPr>
          <w:rFonts w:hint="eastAsia" w:cs="Times New Roman" w:asciiTheme="minorEastAsia" w:hAnsiTheme="minorEastAsia"/>
          <w:sz w:val="32"/>
          <w:szCs w:val="28"/>
        </w:rPr>
        <w:t>建设办公室审</w:t>
      </w:r>
      <w:r>
        <w:rPr>
          <w:rFonts w:hint="eastAsia" w:cs="Times New Roman" w:asciiTheme="minorEastAsia" w:hAnsiTheme="minorEastAsia"/>
          <w:sz w:val="32"/>
          <w:szCs w:val="28"/>
          <w:lang w:val="en-US" w:eastAsia="zh-CN"/>
        </w:rPr>
        <w:t>批</w:t>
      </w:r>
      <w:r>
        <w:rPr>
          <w:rFonts w:hint="eastAsia" w:cs="Times New Roman" w:asciiTheme="minorEastAsia" w:hAnsiTheme="minorEastAsia"/>
          <w:sz w:val="32"/>
          <w:szCs w:val="28"/>
        </w:rPr>
        <w:t>，若审</w:t>
      </w:r>
      <w:r>
        <w:rPr>
          <w:rFonts w:hint="eastAsia" w:cs="Times New Roman" w:asciiTheme="minorEastAsia" w:hAnsiTheme="minorEastAsia"/>
          <w:sz w:val="32"/>
          <w:szCs w:val="28"/>
          <w:lang w:val="en-US" w:eastAsia="zh-CN"/>
        </w:rPr>
        <w:t>批</w:t>
      </w:r>
      <w:r>
        <w:rPr>
          <w:rFonts w:hint="eastAsia" w:cs="Times New Roman" w:asciiTheme="minorEastAsia" w:hAnsiTheme="minorEastAsia"/>
          <w:sz w:val="32"/>
          <w:szCs w:val="28"/>
        </w:rPr>
        <w:t>通过则报财务处进行预算调整，未通过则不予调整。</w:t>
      </w:r>
      <w:bookmarkEnd w:id="0"/>
      <w:r>
        <w:rPr>
          <w:rFonts w:ascii="华文楷体" w:hAnsi="华文楷体" w:eastAsia="华文楷体" w:cs="Times New Roman"/>
          <w:sz w:val="32"/>
          <w:szCs w:val="28"/>
        </w:rPr>
        <w:br w:type="page"/>
      </w:r>
      <w:r>
        <w:rPr>
          <w:rFonts w:ascii="华文楷体" w:hAnsi="华文楷体" w:eastAsia="华文楷体" w:cs="Times New Roman"/>
          <w:sz w:val="32"/>
          <w:szCs w:val="28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pacing w:line="457" w:lineRule="exact"/>
        <w:jc w:val="center"/>
        <w:rPr>
          <w:rFonts w:hint="eastAsia" w:ascii="Microsoft JhengHei" w:hAnsi="Times New Roman" w:eastAsia="Microsoft JhengHei" w:cs="Microsoft JhengHei"/>
          <w:spacing w:val="-20"/>
          <w:kern w:val="0"/>
          <w:sz w:val="32"/>
          <w:szCs w:val="32"/>
        </w:rPr>
      </w:pPr>
      <w:r>
        <w:rPr>
          <w:rFonts w:hint="eastAsia" w:ascii="Microsoft JhengHei" w:hAnsi="Times New Roman" w:eastAsia="Microsoft JhengHei" w:cs="Microsoft JhengHei"/>
          <w:spacing w:val="-20"/>
          <w:kern w:val="0"/>
          <w:sz w:val="32"/>
          <w:szCs w:val="32"/>
        </w:rPr>
        <w:t>华南理工大学“双一流”建设项目经费预算调整审批表</w:t>
      </w:r>
    </w:p>
    <w:tbl>
      <w:tblPr>
        <w:tblStyle w:val="7"/>
        <w:tblW w:w="104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83"/>
        <w:gridCol w:w="1417"/>
        <w:gridCol w:w="2127"/>
        <w:gridCol w:w="1134"/>
        <w:gridCol w:w="1417"/>
        <w:gridCol w:w="851"/>
        <w:gridCol w:w="2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901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5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本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年度总额度（元）</w:t>
            </w:r>
          </w:p>
        </w:tc>
        <w:tc>
          <w:tcPr>
            <w:tcW w:w="29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13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3544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联系手机</w:t>
            </w:r>
          </w:p>
        </w:tc>
        <w:tc>
          <w:tcPr>
            <w:tcW w:w="2915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9010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额度编号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对应预算科目名称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FF0000"/>
                <w:kern w:val="0"/>
                <w:sz w:val="22"/>
              </w:rPr>
              <w:t>调增或调减金额（元）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原预算额度（元）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D0501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设备购置费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例如：-10000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D0502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维修费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D050301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材料费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例如：+10000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D050302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差旅费/会议费/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业务出国（境）费用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D050303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D050304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D050305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其他（须列出明细）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调整原因</w:t>
            </w:r>
          </w:p>
        </w:tc>
        <w:tc>
          <w:tcPr>
            <w:tcW w:w="9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FF0000"/>
                <w:sz w:val="24"/>
              </w:rPr>
              <w:t>如有外协事</w:t>
            </w:r>
            <w:r>
              <w:rPr>
                <w:color w:val="FF0000"/>
                <w:sz w:val="24"/>
              </w:rPr>
              <w:t>项请列明（包括测试费、出版著作等，此说明</w:t>
            </w:r>
            <w:r>
              <w:rPr>
                <w:rFonts w:hint="eastAsia"/>
                <w:color w:val="FF0000"/>
                <w:sz w:val="24"/>
              </w:rPr>
              <w:t>将</w:t>
            </w:r>
            <w:r>
              <w:rPr>
                <w:color w:val="FF0000"/>
                <w:sz w:val="24"/>
              </w:rPr>
              <w:t>作为</w:t>
            </w:r>
            <w:r>
              <w:rPr>
                <w:rFonts w:hint="eastAsia"/>
                <w:color w:val="FF0000"/>
                <w:sz w:val="24"/>
              </w:rPr>
              <w:t>外</w:t>
            </w:r>
            <w:r>
              <w:rPr>
                <w:color w:val="FF0000"/>
                <w:sz w:val="24"/>
              </w:rPr>
              <w:t>协合</w:t>
            </w:r>
            <w:r>
              <w:rPr>
                <w:rFonts w:hint="eastAsia"/>
                <w:color w:val="FF0000"/>
                <w:sz w:val="24"/>
              </w:rPr>
              <w:t>同</w:t>
            </w:r>
            <w:r>
              <w:rPr>
                <w:color w:val="FF0000"/>
                <w:sz w:val="24"/>
              </w:rPr>
              <w:t>的审批依</w:t>
            </w:r>
            <w:r>
              <w:rPr>
                <w:rFonts w:hint="eastAsia"/>
                <w:color w:val="FF0000"/>
                <w:sz w:val="24"/>
              </w:rPr>
              <w:t>据</w:t>
            </w:r>
            <w:r>
              <w:rPr>
                <w:color w:val="FF000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项目负责人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承诺</w:t>
            </w:r>
          </w:p>
        </w:tc>
        <w:tc>
          <w:tcPr>
            <w:tcW w:w="9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（本人承诺：严格遵守国家财政财务制度和财经纪律，按照“华南理工大学‘双一流’专项资金管理办法”，对经费使用的合法性、合理性和有效性负责。）</w:t>
            </w:r>
          </w:p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 xml:space="preserve">       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项目负责人签名：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4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预算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调整论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证专家组成员签字：（需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附会议纪要）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序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单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称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4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所在单位审核意见：</w:t>
            </w:r>
          </w:p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 xml:space="preserve">                        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负责人签名：</w:t>
            </w:r>
          </w:p>
          <w:p>
            <w:pPr>
              <w:widowControl/>
              <w:spacing w:line="360" w:lineRule="auto"/>
              <w:ind w:firstLine="6600" w:firstLineChars="3000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公章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双一流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”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建设办公室审批意见：</w:t>
            </w:r>
          </w:p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 xml:space="preserve">                        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负责人签名：</w:t>
            </w:r>
          </w:p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 xml:space="preserve">                                                           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公章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）</w:t>
            </w:r>
          </w:p>
        </w:tc>
      </w:tr>
    </w:tbl>
    <w:p>
      <w:pPr>
        <w:kinsoku w:val="0"/>
        <w:overflowPunct w:val="0"/>
        <w:autoSpaceDE w:val="0"/>
        <w:autoSpaceDN w:val="0"/>
        <w:adjustRightInd w:val="0"/>
        <w:spacing w:line="348" w:lineRule="exact"/>
        <w:jc w:val="left"/>
        <w:rPr>
          <w:rFonts w:ascii="Microsoft JhengHei" w:hAnsi="Times New Roman" w:cs="Microsoft JhengHei"/>
          <w:spacing w:val="-21"/>
          <w:kern w:val="0"/>
          <w:sz w:val="24"/>
          <w:szCs w:val="24"/>
        </w:rPr>
      </w:pPr>
      <w:r>
        <w:rPr>
          <w:rFonts w:hint="eastAsia" w:ascii="Microsoft JhengHei" w:hAnsi="Times New Roman" w:eastAsia="Microsoft JhengHei" w:cs="Microsoft JhengHei"/>
          <w:spacing w:val="-21"/>
          <w:kern w:val="0"/>
          <w:sz w:val="24"/>
          <w:szCs w:val="24"/>
        </w:rPr>
        <w:t>备注：</w:t>
      </w:r>
    </w:p>
    <w:p>
      <w:pPr>
        <w:kinsoku w:val="0"/>
        <w:overflowPunct w:val="0"/>
        <w:autoSpaceDE w:val="0"/>
        <w:autoSpaceDN w:val="0"/>
        <w:adjustRightInd w:val="0"/>
        <w:spacing w:before="0" w:line="348" w:lineRule="exact"/>
        <w:ind w:right="0" w:firstLine="396" w:firstLineChars="200"/>
        <w:jc w:val="both"/>
        <w:rPr>
          <w:rFonts w:hint="eastAsia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</w:pPr>
      <w:r>
        <w:rPr>
          <w:rFonts w:hint="eastAsia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1</w:t>
      </w:r>
      <w:r>
        <w:rPr>
          <w:rFonts w:hint="default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.</w:t>
      </w:r>
      <w:r>
        <w:rPr>
          <w:rFonts w:hint="eastAsia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 xml:space="preserve"> </w:t>
      </w:r>
      <w:r>
        <w:rPr>
          <w:rFonts w:hint="default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“</w:t>
      </w:r>
      <w:r>
        <w:rPr>
          <w:rFonts w:hint="eastAsia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调增或调减金额</w:t>
      </w:r>
      <w:r>
        <w:rPr>
          <w:rFonts w:hint="default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”：</w:t>
      </w:r>
      <w:r>
        <w:rPr>
          <w:rFonts w:hint="eastAsia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是指</w:t>
      </w:r>
      <w:r>
        <w:rPr>
          <w:rFonts w:hint="default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相</w:t>
      </w:r>
      <w:r>
        <w:rPr>
          <w:rFonts w:hint="eastAsia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应科</w:t>
      </w:r>
      <w:r>
        <w:rPr>
          <w:rFonts w:hint="default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目需要调增或调减的金额（以元为单位）；各预算科目调整总额不变，即调增数等于调减数，例如：若将设备购置费中的10000元调至材料费中，则</w:t>
      </w:r>
      <w:r>
        <w:rPr>
          <w:rFonts w:hint="eastAsia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填写时</w:t>
      </w:r>
      <w:r>
        <w:rPr>
          <w:rFonts w:hint="default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D0301设备购置费调整额度为-10000元，D030301材料费调整额度相应+10000元，以此类推；</w:t>
      </w:r>
    </w:p>
    <w:p>
      <w:pPr>
        <w:kinsoku w:val="0"/>
        <w:overflowPunct w:val="0"/>
        <w:autoSpaceDE w:val="0"/>
        <w:autoSpaceDN w:val="0"/>
        <w:adjustRightInd w:val="0"/>
        <w:spacing w:before="0" w:line="348" w:lineRule="exact"/>
        <w:ind w:right="0" w:firstLine="396" w:firstLineChars="200"/>
        <w:jc w:val="both"/>
        <w:rPr>
          <w:rFonts w:hint="eastAsia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</w:pPr>
      <w:r>
        <w:rPr>
          <w:rFonts w:hint="default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2.</w:t>
      </w:r>
      <w:r>
        <w:rPr>
          <w:rFonts w:hint="eastAsia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 xml:space="preserve">  </w:t>
      </w:r>
      <w:r>
        <w:rPr>
          <w:rFonts w:hint="default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“原预算额度”</w:t>
      </w:r>
      <w:r>
        <w:rPr>
          <w:rFonts w:hint="eastAsia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：需填写</w:t>
      </w:r>
      <w:r>
        <w:rPr>
          <w:rFonts w:hint="default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完</w:t>
      </w:r>
      <w:r>
        <w:rPr>
          <w:rFonts w:hint="eastAsia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整</w:t>
      </w:r>
      <w:r>
        <w:rPr>
          <w:rFonts w:hint="default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所</w:t>
      </w:r>
      <w:r>
        <w:rPr>
          <w:rFonts w:hint="eastAsia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有</w:t>
      </w:r>
      <w:r>
        <w:rPr>
          <w:rFonts w:hint="default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科目的原</w:t>
      </w:r>
      <w:r>
        <w:rPr>
          <w:rFonts w:hint="eastAsia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来预算</w:t>
      </w:r>
      <w:r>
        <w:rPr>
          <w:rFonts w:hint="default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额</w:t>
      </w:r>
      <w:r>
        <w:rPr>
          <w:rFonts w:hint="eastAsia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度</w:t>
      </w:r>
      <w:r>
        <w:rPr>
          <w:rFonts w:hint="default" w:ascii="Microsoft JhengHei" w:hAnsi="Times New Roman" w:eastAsia="Microsoft JhengHei" w:cs="Microsoft JhengHei"/>
          <w:color w:val="FF0000"/>
          <w:spacing w:val="-21"/>
          <w:kern w:val="0"/>
          <w:sz w:val="24"/>
          <w:szCs w:val="24"/>
        </w:rPr>
        <w:t>；</w:t>
      </w:r>
    </w:p>
    <w:p>
      <w:pPr>
        <w:kinsoku w:val="0"/>
        <w:overflowPunct w:val="0"/>
        <w:autoSpaceDE w:val="0"/>
        <w:autoSpaceDN w:val="0"/>
        <w:adjustRightInd w:val="0"/>
        <w:spacing w:before="0" w:line="348" w:lineRule="exact"/>
        <w:ind w:right="0" w:firstLine="396" w:firstLineChars="200"/>
        <w:jc w:val="both"/>
        <w:rPr>
          <w:rFonts w:hint="eastAsia" w:ascii="Microsoft JhengHei" w:hAnsi="Times New Roman" w:eastAsia="Microsoft JhengHei" w:cs="Microsoft JhengHei"/>
          <w:spacing w:val="-21"/>
          <w:kern w:val="0"/>
          <w:sz w:val="24"/>
          <w:szCs w:val="24"/>
        </w:rPr>
      </w:pPr>
      <w:r>
        <w:rPr>
          <w:rFonts w:hint="eastAsia" w:ascii="Microsoft JhengHei" w:hAnsi="Times New Roman" w:eastAsia="Microsoft JhengHei" w:cs="Microsoft JhengHei"/>
          <w:spacing w:val="-21"/>
          <w:kern w:val="0"/>
          <w:sz w:val="24"/>
          <w:szCs w:val="24"/>
        </w:rPr>
        <w:t>3．“调整原因”：需根据调整的科目进行逐项说明；</w:t>
      </w:r>
    </w:p>
    <w:p>
      <w:pPr>
        <w:kinsoku w:val="0"/>
        <w:overflowPunct w:val="0"/>
        <w:autoSpaceDE w:val="0"/>
        <w:autoSpaceDN w:val="0"/>
        <w:adjustRightInd w:val="0"/>
        <w:spacing w:line="348" w:lineRule="exact"/>
        <w:ind w:firstLine="396" w:firstLineChars="200"/>
        <w:jc w:val="both"/>
        <w:rPr>
          <w:rFonts w:hint="eastAsia" w:ascii="Microsoft JhengHei" w:hAnsi="Times New Roman" w:eastAsia="Microsoft JhengHei" w:cs="Microsoft JhengHei"/>
          <w:spacing w:val="-21"/>
          <w:kern w:val="0"/>
          <w:sz w:val="24"/>
          <w:szCs w:val="24"/>
        </w:rPr>
      </w:pPr>
      <w:r>
        <w:rPr>
          <w:rFonts w:hint="eastAsia" w:ascii="Microsoft JhengHei" w:hAnsi="Times New Roman" w:eastAsia="Microsoft JhengHei" w:cs="Microsoft JhengHei"/>
          <w:spacing w:val="-21"/>
          <w:kern w:val="0"/>
          <w:sz w:val="24"/>
          <w:szCs w:val="24"/>
        </w:rPr>
        <w:t>4. 此表纸质一式两份交</w:t>
      </w:r>
      <w:r>
        <w:rPr>
          <w:rFonts w:hint="eastAsia" w:ascii="Microsoft JhengHei" w:hAnsi="Times New Roman" w:eastAsia="Microsoft JhengHei" w:cs="Microsoft JhengHei"/>
          <w:spacing w:val="-21"/>
          <w:kern w:val="0"/>
          <w:sz w:val="24"/>
          <w:szCs w:val="24"/>
          <w:lang w:eastAsia="zh-CN"/>
        </w:rPr>
        <w:t>“</w:t>
      </w:r>
      <w:r>
        <w:rPr>
          <w:rFonts w:hint="eastAsia" w:ascii="Microsoft JhengHei" w:hAnsi="Times New Roman" w:eastAsia="Microsoft JhengHei" w:cs="Microsoft JhengHei"/>
          <w:spacing w:val="-21"/>
          <w:kern w:val="0"/>
          <w:sz w:val="24"/>
          <w:szCs w:val="24"/>
          <w:lang w:val="en-US" w:eastAsia="zh-CN"/>
        </w:rPr>
        <w:t>双一流</w:t>
      </w:r>
      <w:r>
        <w:rPr>
          <w:rFonts w:hint="eastAsia" w:ascii="Microsoft JhengHei" w:hAnsi="Times New Roman" w:eastAsia="Microsoft JhengHei" w:cs="Microsoft JhengHei"/>
          <w:spacing w:val="-21"/>
          <w:kern w:val="0"/>
          <w:sz w:val="24"/>
          <w:szCs w:val="24"/>
          <w:lang w:eastAsia="zh-CN"/>
        </w:rPr>
        <w:t>”</w:t>
      </w:r>
      <w:r>
        <w:rPr>
          <w:rFonts w:hint="eastAsia" w:ascii="Microsoft JhengHei" w:hAnsi="Times New Roman" w:eastAsia="Microsoft JhengHei" w:cs="Microsoft JhengHei"/>
          <w:spacing w:val="-21"/>
          <w:kern w:val="0"/>
          <w:sz w:val="24"/>
          <w:szCs w:val="24"/>
        </w:rPr>
        <w:t>建设办公室，并发送电子版到985211@scut.edu.cn邮箱。</w:t>
      </w:r>
    </w:p>
    <w:p>
      <w:pPr>
        <w:kinsoku w:val="0"/>
        <w:overflowPunct w:val="0"/>
        <w:autoSpaceDE w:val="0"/>
        <w:autoSpaceDN w:val="0"/>
        <w:adjustRightInd w:val="0"/>
        <w:spacing w:before="11" w:line="360" w:lineRule="exact"/>
        <w:ind w:right="738"/>
        <w:jc w:val="left"/>
        <w:rPr>
          <w:rFonts w:ascii="Microsoft JhengHei" w:hAnsi="Times New Roman" w:cs="Microsoft JhengHei"/>
          <w:spacing w:val="-20"/>
          <w:kern w:val="0"/>
          <w:sz w:val="24"/>
          <w:szCs w:val="24"/>
        </w:rPr>
      </w:pPr>
    </w:p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EE"/>
    <w:rsid w:val="00023D78"/>
    <w:rsid w:val="000300A3"/>
    <w:rsid w:val="00067165"/>
    <w:rsid w:val="00067409"/>
    <w:rsid w:val="000713F4"/>
    <w:rsid w:val="00071645"/>
    <w:rsid w:val="00096745"/>
    <w:rsid w:val="000C7DCE"/>
    <w:rsid w:val="000D243A"/>
    <w:rsid w:val="00117751"/>
    <w:rsid w:val="0012320B"/>
    <w:rsid w:val="00124D34"/>
    <w:rsid w:val="001303ED"/>
    <w:rsid w:val="0015012D"/>
    <w:rsid w:val="0016537A"/>
    <w:rsid w:val="0019112D"/>
    <w:rsid w:val="00193C68"/>
    <w:rsid w:val="001D1772"/>
    <w:rsid w:val="00200197"/>
    <w:rsid w:val="00203FDE"/>
    <w:rsid w:val="00207F31"/>
    <w:rsid w:val="002421A3"/>
    <w:rsid w:val="00242998"/>
    <w:rsid w:val="00245AB0"/>
    <w:rsid w:val="00263027"/>
    <w:rsid w:val="0026738E"/>
    <w:rsid w:val="00287552"/>
    <w:rsid w:val="00292AF2"/>
    <w:rsid w:val="002A3CD2"/>
    <w:rsid w:val="002B7EB6"/>
    <w:rsid w:val="003040A3"/>
    <w:rsid w:val="003225AC"/>
    <w:rsid w:val="00325B3B"/>
    <w:rsid w:val="00371645"/>
    <w:rsid w:val="003911EE"/>
    <w:rsid w:val="003B138D"/>
    <w:rsid w:val="003B25BA"/>
    <w:rsid w:val="003C3B77"/>
    <w:rsid w:val="003D0127"/>
    <w:rsid w:val="003D24F0"/>
    <w:rsid w:val="003E1AD9"/>
    <w:rsid w:val="003F6E74"/>
    <w:rsid w:val="00407B65"/>
    <w:rsid w:val="004245B1"/>
    <w:rsid w:val="00425C30"/>
    <w:rsid w:val="00435225"/>
    <w:rsid w:val="00437D06"/>
    <w:rsid w:val="00444C26"/>
    <w:rsid w:val="00481F53"/>
    <w:rsid w:val="004852B7"/>
    <w:rsid w:val="004A445F"/>
    <w:rsid w:val="004B289E"/>
    <w:rsid w:val="004F5D42"/>
    <w:rsid w:val="00500B63"/>
    <w:rsid w:val="00505A84"/>
    <w:rsid w:val="005079BC"/>
    <w:rsid w:val="00530D31"/>
    <w:rsid w:val="0053190A"/>
    <w:rsid w:val="00541601"/>
    <w:rsid w:val="005713E9"/>
    <w:rsid w:val="00574077"/>
    <w:rsid w:val="00586C72"/>
    <w:rsid w:val="005921C0"/>
    <w:rsid w:val="005A78E2"/>
    <w:rsid w:val="005D2F9A"/>
    <w:rsid w:val="005D36DF"/>
    <w:rsid w:val="005E53D9"/>
    <w:rsid w:val="00601F05"/>
    <w:rsid w:val="00620176"/>
    <w:rsid w:val="006214F5"/>
    <w:rsid w:val="00622FCA"/>
    <w:rsid w:val="00642476"/>
    <w:rsid w:val="00650344"/>
    <w:rsid w:val="006533E6"/>
    <w:rsid w:val="0065363E"/>
    <w:rsid w:val="00663E23"/>
    <w:rsid w:val="006669B3"/>
    <w:rsid w:val="006863DB"/>
    <w:rsid w:val="00686E0F"/>
    <w:rsid w:val="0069247B"/>
    <w:rsid w:val="006A3BED"/>
    <w:rsid w:val="006F7AC5"/>
    <w:rsid w:val="007044DC"/>
    <w:rsid w:val="007100FC"/>
    <w:rsid w:val="0074659F"/>
    <w:rsid w:val="007555BB"/>
    <w:rsid w:val="00774359"/>
    <w:rsid w:val="007869A7"/>
    <w:rsid w:val="0078798E"/>
    <w:rsid w:val="007A3C9F"/>
    <w:rsid w:val="007A3E8E"/>
    <w:rsid w:val="007A4A4E"/>
    <w:rsid w:val="007E1D97"/>
    <w:rsid w:val="00822935"/>
    <w:rsid w:val="00863F1D"/>
    <w:rsid w:val="00866666"/>
    <w:rsid w:val="0087077F"/>
    <w:rsid w:val="008A69F5"/>
    <w:rsid w:val="008E2F63"/>
    <w:rsid w:val="008F404D"/>
    <w:rsid w:val="0091035F"/>
    <w:rsid w:val="00910C98"/>
    <w:rsid w:val="009472B1"/>
    <w:rsid w:val="0095654B"/>
    <w:rsid w:val="00977F03"/>
    <w:rsid w:val="00982434"/>
    <w:rsid w:val="00982C36"/>
    <w:rsid w:val="00996DFB"/>
    <w:rsid w:val="009E379A"/>
    <w:rsid w:val="009E5B95"/>
    <w:rsid w:val="009F1740"/>
    <w:rsid w:val="00A05F9A"/>
    <w:rsid w:val="00A06B6B"/>
    <w:rsid w:val="00A2764B"/>
    <w:rsid w:val="00A3537B"/>
    <w:rsid w:val="00A363C4"/>
    <w:rsid w:val="00A53FB4"/>
    <w:rsid w:val="00A565DD"/>
    <w:rsid w:val="00A72579"/>
    <w:rsid w:val="00A83944"/>
    <w:rsid w:val="00A90629"/>
    <w:rsid w:val="00AA18E8"/>
    <w:rsid w:val="00AA5539"/>
    <w:rsid w:val="00B02BF3"/>
    <w:rsid w:val="00B072BB"/>
    <w:rsid w:val="00B22F74"/>
    <w:rsid w:val="00B41832"/>
    <w:rsid w:val="00B91B76"/>
    <w:rsid w:val="00B97CDB"/>
    <w:rsid w:val="00BD3294"/>
    <w:rsid w:val="00BF61A0"/>
    <w:rsid w:val="00C0266D"/>
    <w:rsid w:val="00C026CA"/>
    <w:rsid w:val="00C04FC4"/>
    <w:rsid w:val="00C1154F"/>
    <w:rsid w:val="00C47012"/>
    <w:rsid w:val="00C85034"/>
    <w:rsid w:val="00CA1799"/>
    <w:rsid w:val="00CD105D"/>
    <w:rsid w:val="00CD2EB4"/>
    <w:rsid w:val="00CD5D65"/>
    <w:rsid w:val="00CF092C"/>
    <w:rsid w:val="00CF0FCD"/>
    <w:rsid w:val="00CF197D"/>
    <w:rsid w:val="00CF4A95"/>
    <w:rsid w:val="00D10BEE"/>
    <w:rsid w:val="00D30D84"/>
    <w:rsid w:val="00D3312A"/>
    <w:rsid w:val="00D36A98"/>
    <w:rsid w:val="00D70AD0"/>
    <w:rsid w:val="00D93D91"/>
    <w:rsid w:val="00D955AF"/>
    <w:rsid w:val="00DB3DD5"/>
    <w:rsid w:val="00DC509A"/>
    <w:rsid w:val="00DD0DAE"/>
    <w:rsid w:val="00DE60EF"/>
    <w:rsid w:val="00E0690A"/>
    <w:rsid w:val="00E07491"/>
    <w:rsid w:val="00E3327F"/>
    <w:rsid w:val="00E37E3B"/>
    <w:rsid w:val="00E41B55"/>
    <w:rsid w:val="00E506F5"/>
    <w:rsid w:val="00E603A3"/>
    <w:rsid w:val="00E625A5"/>
    <w:rsid w:val="00E820A4"/>
    <w:rsid w:val="00E85A78"/>
    <w:rsid w:val="00E976A9"/>
    <w:rsid w:val="00EA4DAB"/>
    <w:rsid w:val="00ED2E75"/>
    <w:rsid w:val="00EF22DA"/>
    <w:rsid w:val="00F01F58"/>
    <w:rsid w:val="00F12708"/>
    <w:rsid w:val="00F21E95"/>
    <w:rsid w:val="00F27E50"/>
    <w:rsid w:val="00F3354D"/>
    <w:rsid w:val="00F551B0"/>
    <w:rsid w:val="00F633A0"/>
    <w:rsid w:val="00F82369"/>
    <w:rsid w:val="00FB6E0C"/>
    <w:rsid w:val="00FD7D59"/>
    <w:rsid w:val="00FE1CA4"/>
    <w:rsid w:val="00FE7811"/>
    <w:rsid w:val="00FF0EC7"/>
    <w:rsid w:val="00FF5559"/>
    <w:rsid w:val="01E51383"/>
    <w:rsid w:val="02D34CF4"/>
    <w:rsid w:val="0B4A5E31"/>
    <w:rsid w:val="25AA14A7"/>
    <w:rsid w:val="27A44EBF"/>
    <w:rsid w:val="4F3E73C4"/>
    <w:rsid w:val="796A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1168</Words>
  <Characters>1269</Characters>
  <Lines>11</Lines>
  <Paragraphs>3</Paragraphs>
  <TotalTime>48</TotalTime>
  <ScaleCrop>false</ScaleCrop>
  <LinksUpToDate>false</LinksUpToDate>
  <CharactersWithSpaces>1497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2020-03-17T07:44:00Z</dcterms:created>
  <dc:creator>Joseph</dc:creator>
  <cp:lastModifiedBy>文质彬斌</cp:lastModifiedBy>
  <cp:lastPrinted>2019-04-19T06:37:00Z</cp:lastPrinted>
  <dcterms:modified xsi:type="dcterms:W3CDTF">2022-04-21T07:59:10Z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4A16AE99F987427489288DC2236D81C9</vt:lpwstr>
  </property>
</Properties>
</file>