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209" w:rsidRDefault="00A36209" w:rsidP="00A36209">
      <w:pPr>
        <w:jc w:val="left"/>
        <w:rPr>
          <w:rFonts w:ascii="仿宋" w:eastAsia="仿宋" w:hAnsi="仿宋" w:cs="仿宋"/>
          <w:sz w:val="32"/>
          <w:szCs w:val="32"/>
        </w:rPr>
      </w:pPr>
      <w:r>
        <w:rPr>
          <w:rFonts w:ascii="仿宋" w:eastAsia="仿宋" w:hAnsi="仿宋" w:cs="仿宋" w:hint="eastAsia"/>
          <w:sz w:val="32"/>
          <w:szCs w:val="32"/>
        </w:rPr>
        <w:t>附件1-1：</w:t>
      </w:r>
    </w:p>
    <w:p w:rsidR="00A36209" w:rsidRDefault="00A36209" w:rsidP="00A36209">
      <w:pPr>
        <w:jc w:val="center"/>
        <w:rPr>
          <w:rFonts w:ascii="仿宋" w:eastAsia="仿宋" w:hAnsi="仿宋" w:cs="仿宋"/>
          <w:b/>
          <w:bCs/>
          <w:sz w:val="36"/>
          <w:szCs w:val="36"/>
        </w:rPr>
      </w:pPr>
      <w:r>
        <w:rPr>
          <w:rFonts w:ascii="仿宋" w:eastAsia="仿宋" w:hAnsi="仿宋" w:cs="仿宋" w:hint="eastAsia"/>
          <w:b/>
          <w:bCs/>
          <w:sz w:val="36"/>
          <w:szCs w:val="36"/>
        </w:rPr>
        <w:t>生物医学科学与工程学院留校开展实验</w:t>
      </w:r>
    </w:p>
    <w:p w:rsidR="00A36209" w:rsidRDefault="00A36209" w:rsidP="00A36209">
      <w:pPr>
        <w:jc w:val="center"/>
        <w:rPr>
          <w:rFonts w:ascii="仿宋" w:eastAsia="仿宋" w:hAnsi="仿宋" w:cs="仿宋"/>
          <w:sz w:val="36"/>
          <w:szCs w:val="36"/>
        </w:rPr>
      </w:pPr>
      <w:r>
        <w:rPr>
          <w:rFonts w:ascii="仿宋" w:eastAsia="仿宋" w:hAnsi="仿宋" w:cs="仿宋" w:hint="eastAsia"/>
          <w:b/>
          <w:bCs/>
          <w:sz w:val="36"/>
          <w:szCs w:val="36"/>
        </w:rPr>
        <w:t>安全责任书</w:t>
      </w:r>
    </w:p>
    <w:p w:rsidR="00A36209" w:rsidRDefault="00A36209" w:rsidP="00A3620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华南理工大学实验室安全管理规定（2022年修订）》、《华南理工大学实验室安全责任追究办法（2022年修订）》、《生物医学科学与工程学院实验室安全管理办法》和《关于做好2026年暑假期间实验室安全工作的通知》等文件要求，结合工作实际，特签订本责任书。</w:t>
      </w:r>
    </w:p>
    <w:p w:rsidR="00A36209" w:rsidRDefault="00A36209" w:rsidP="00A3620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一、各 PI 实验室负责人是其所管理实验室安全工作的直接责任人，有关责任由学院已经与实验室直接责任人签订的《生物医学科学与工程学院实验室安全责任书》确定。</w:t>
      </w:r>
    </w:p>
    <w:p w:rsidR="00A36209" w:rsidRDefault="00A36209" w:rsidP="00A3620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二、实验室直接责任人从在校开展实验人员中指定工作认真负责、熟悉实验室安全管理规定和技术规范的人员为所负责的实验室安全员，与之明确职责，并报送学院备案。</w:t>
      </w:r>
    </w:p>
    <w:p w:rsidR="00A36209" w:rsidRDefault="00A36209" w:rsidP="00A3620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三、凡进入实验室开展教学科研或其他活动的实验室使用人员是相关实验活动的安全责任人，其主要职责是：</w:t>
      </w:r>
    </w:p>
    <w:p w:rsidR="00A36209" w:rsidRDefault="00A36209" w:rsidP="00A3620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（一）遵守学校、校区、学院和实验室制定的安全管理制度和操作规程，自觉遵守留校期间有关通知要求，熟悉实验室应急处置程序。</w:t>
      </w:r>
    </w:p>
    <w:p w:rsidR="00A36209" w:rsidRDefault="00A36209" w:rsidP="00A36209">
      <w:pPr>
        <w:numPr>
          <w:ilvl w:val="0"/>
          <w:numId w:val="1"/>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合理制定留校期间实验计划，按照要求做好实验前的实验项目风险评估，并由实验室负责人确认后严格按计划开展实验；留校期间与实验室直接责任人随时保持联系，接受实验或科研的指导。</w:t>
      </w:r>
    </w:p>
    <w:p w:rsidR="00A36209" w:rsidRDefault="00A36209" w:rsidP="00A36209">
      <w:pPr>
        <w:numPr>
          <w:ilvl w:val="0"/>
          <w:numId w:val="1"/>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实验结束或离开实验室前，必须按规定采取结束或暂离实</w:t>
      </w:r>
      <w:r>
        <w:rPr>
          <w:rFonts w:ascii="仿宋" w:eastAsia="仿宋" w:hAnsi="仿宋" w:cs="仿宋" w:hint="eastAsia"/>
          <w:sz w:val="28"/>
          <w:szCs w:val="28"/>
        </w:rPr>
        <w:lastRenderedPageBreak/>
        <w:t>验的措施，并关闭所使用的仪器设备、水、电、气和门窗等，不在无人值守情况下开展实验；及时整理清理所使用的实验台面、通风橱、冰箱等设施内的物品，清理各类易燃可燃、助燃物品，按照化学特性严格分类、分柜妥善暂存各类危险品。</w:t>
      </w:r>
    </w:p>
    <w:p w:rsidR="00A36209" w:rsidRDefault="00A36209" w:rsidP="00A36209">
      <w:pPr>
        <w:numPr>
          <w:ilvl w:val="0"/>
          <w:numId w:val="2"/>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留校开展实验内容</w:t>
      </w:r>
    </w:p>
    <w:tbl>
      <w:tblPr>
        <w:tblStyle w:val="a3"/>
        <w:tblW w:w="8717" w:type="dxa"/>
        <w:tblLook w:val="04A0" w:firstRow="1" w:lastRow="0" w:firstColumn="1" w:lastColumn="0" w:noHBand="0" w:noVBand="1"/>
      </w:tblPr>
      <w:tblGrid>
        <w:gridCol w:w="817"/>
        <w:gridCol w:w="1996"/>
        <w:gridCol w:w="1758"/>
        <w:gridCol w:w="1349"/>
        <w:gridCol w:w="2797"/>
      </w:tblGrid>
      <w:tr w:rsidR="00A36209" w:rsidTr="001859D5">
        <w:trPr>
          <w:trHeight w:val="802"/>
        </w:trPr>
        <w:tc>
          <w:tcPr>
            <w:tcW w:w="817" w:type="dxa"/>
          </w:tcPr>
          <w:p w:rsidR="00A36209" w:rsidRDefault="00A36209" w:rsidP="001859D5">
            <w:pPr>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1996" w:type="dxa"/>
          </w:tcPr>
          <w:p w:rsidR="00A36209" w:rsidRDefault="00A36209" w:rsidP="001859D5">
            <w:pPr>
              <w:spacing w:line="360" w:lineRule="auto"/>
              <w:jc w:val="center"/>
              <w:rPr>
                <w:rFonts w:ascii="仿宋" w:eastAsia="仿宋" w:hAnsi="仿宋" w:cs="仿宋"/>
                <w:sz w:val="28"/>
                <w:szCs w:val="28"/>
              </w:rPr>
            </w:pPr>
            <w:r>
              <w:rPr>
                <w:rFonts w:ascii="仿宋" w:eastAsia="仿宋" w:hAnsi="仿宋" w:cs="仿宋" w:hint="eastAsia"/>
                <w:sz w:val="28"/>
                <w:szCs w:val="28"/>
              </w:rPr>
              <w:t>实验项目</w:t>
            </w:r>
          </w:p>
        </w:tc>
        <w:tc>
          <w:tcPr>
            <w:tcW w:w="1758" w:type="dxa"/>
          </w:tcPr>
          <w:p w:rsidR="00A36209" w:rsidRDefault="00A36209" w:rsidP="001859D5">
            <w:pPr>
              <w:spacing w:line="360" w:lineRule="auto"/>
              <w:jc w:val="center"/>
              <w:rPr>
                <w:rFonts w:ascii="仿宋" w:eastAsia="仿宋" w:hAnsi="仿宋" w:cs="仿宋"/>
                <w:sz w:val="28"/>
                <w:szCs w:val="28"/>
              </w:rPr>
            </w:pPr>
            <w:r>
              <w:rPr>
                <w:rFonts w:ascii="仿宋" w:eastAsia="仿宋" w:hAnsi="仿宋" w:cs="仿宋" w:hint="eastAsia"/>
                <w:sz w:val="28"/>
                <w:szCs w:val="28"/>
              </w:rPr>
              <w:t>起止日期</w:t>
            </w:r>
          </w:p>
        </w:tc>
        <w:tc>
          <w:tcPr>
            <w:tcW w:w="1349" w:type="dxa"/>
          </w:tcPr>
          <w:p w:rsidR="00A36209" w:rsidRDefault="00A36209" w:rsidP="001859D5">
            <w:pPr>
              <w:spacing w:line="360" w:lineRule="auto"/>
              <w:jc w:val="center"/>
              <w:rPr>
                <w:rFonts w:ascii="仿宋" w:eastAsia="仿宋" w:hAnsi="仿宋" w:cs="仿宋"/>
                <w:sz w:val="28"/>
                <w:szCs w:val="28"/>
              </w:rPr>
            </w:pPr>
            <w:r>
              <w:rPr>
                <w:rFonts w:ascii="仿宋" w:eastAsia="仿宋" w:hAnsi="仿宋" w:cs="仿宋" w:hint="eastAsia"/>
                <w:sz w:val="28"/>
                <w:szCs w:val="28"/>
              </w:rPr>
              <w:t>实验人</w:t>
            </w:r>
          </w:p>
        </w:tc>
        <w:tc>
          <w:tcPr>
            <w:tcW w:w="2797" w:type="dxa"/>
          </w:tcPr>
          <w:p w:rsidR="00A36209" w:rsidRDefault="00A36209" w:rsidP="001859D5">
            <w:pPr>
              <w:spacing w:line="360" w:lineRule="auto"/>
              <w:jc w:val="center"/>
              <w:rPr>
                <w:rFonts w:ascii="仿宋" w:eastAsia="仿宋" w:hAnsi="仿宋" w:cs="仿宋"/>
                <w:sz w:val="28"/>
                <w:szCs w:val="28"/>
              </w:rPr>
            </w:pPr>
            <w:r>
              <w:rPr>
                <w:rFonts w:ascii="仿宋" w:eastAsia="仿宋" w:hAnsi="仿宋" w:cs="仿宋" w:hint="eastAsia"/>
                <w:sz w:val="28"/>
                <w:szCs w:val="28"/>
              </w:rPr>
              <w:t>主要风险和防范措施</w:t>
            </w:r>
          </w:p>
        </w:tc>
      </w:tr>
      <w:tr w:rsidR="00A36209" w:rsidTr="001859D5">
        <w:trPr>
          <w:trHeight w:val="405"/>
        </w:trPr>
        <w:tc>
          <w:tcPr>
            <w:tcW w:w="817" w:type="dxa"/>
          </w:tcPr>
          <w:p w:rsidR="00A36209" w:rsidRDefault="00A36209" w:rsidP="001859D5">
            <w:pPr>
              <w:spacing w:line="360" w:lineRule="auto"/>
              <w:rPr>
                <w:rFonts w:ascii="仿宋" w:eastAsia="仿宋" w:hAnsi="仿宋" w:cs="仿宋"/>
                <w:sz w:val="28"/>
                <w:szCs w:val="28"/>
              </w:rPr>
            </w:pPr>
            <w:r>
              <w:rPr>
                <w:rFonts w:ascii="仿宋" w:eastAsia="仿宋" w:hAnsi="仿宋" w:cs="仿宋" w:hint="eastAsia"/>
                <w:sz w:val="28"/>
                <w:szCs w:val="28"/>
              </w:rPr>
              <w:t>1</w:t>
            </w:r>
          </w:p>
        </w:tc>
        <w:tc>
          <w:tcPr>
            <w:tcW w:w="1996" w:type="dxa"/>
          </w:tcPr>
          <w:p w:rsidR="00A36209" w:rsidRDefault="00A36209" w:rsidP="001859D5">
            <w:pPr>
              <w:spacing w:line="360" w:lineRule="auto"/>
              <w:rPr>
                <w:rFonts w:ascii="仿宋" w:eastAsia="仿宋" w:hAnsi="仿宋" w:cs="仿宋"/>
                <w:sz w:val="32"/>
                <w:szCs w:val="32"/>
              </w:rPr>
            </w:pPr>
          </w:p>
        </w:tc>
        <w:tc>
          <w:tcPr>
            <w:tcW w:w="1758" w:type="dxa"/>
          </w:tcPr>
          <w:p w:rsidR="00A36209" w:rsidRDefault="00A36209" w:rsidP="001859D5">
            <w:pPr>
              <w:spacing w:line="360" w:lineRule="auto"/>
              <w:rPr>
                <w:rFonts w:ascii="仿宋" w:eastAsia="仿宋" w:hAnsi="仿宋" w:cs="仿宋"/>
                <w:sz w:val="32"/>
                <w:szCs w:val="32"/>
              </w:rPr>
            </w:pPr>
          </w:p>
        </w:tc>
        <w:tc>
          <w:tcPr>
            <w:tcW w:w="1349" w:type="dxa"/>
          </w:tcPr>
          <w:p w:rsidR="00A36209" w:rsidRDefault="00A36209" w:rsidP="001859D5">
            <w:pPr>
              <w:spacing w:line="360" w:lineRule="auto"/>
              <w:rPr>
                <w:rFonts w:ascii="仿宋" w:eastAsia="仿宋" w:hAnsi="仿宋" w:cs="仿宋"/>
                <w:sz w:val="32"/>
                <w:szCs w:val="32"/>
              </w:rPr>
            </w:pPr>
          </w:p>
        </w:tc>
        <w:tc>
          <w:tcPr>
            <w:tcW w:w="2797" w:type="dxa"/>
          </w:tcPr>
          <w:p w:rsidR="00A36209" w:rsidRDefault="00A36209" w:rsidP="001859D5">
            <w:pPr>
              <w:spacing w:line="360" w:lineRule="auto"/>
              <w:rPr>
                <w:rFonts w:ascii="仿宋" w:eastAsia="仿宋" w:hAnsi="仿宋" w:cs="仿宋"/>
                <w:sz w:val="32"/>
                <w:szCs w:val="32"/>
              </w:rPr>
            </w:pPr>
          </w:p>
        </w:tc>
      </w:tr>
      <w:tr w:rsidR="00A36209" w:rsidTr="001859D5">
        <w:trPr>
          <w:trHeight w:val="405"/>
        </w:trPr>
        <w:tc>
          <w:tcPr>
            <w:tcW w:w="817" w:type="dxa"/>
          </w:tcPr>
          <w:p w:rsidR="00A36209" w:rsidRDefault="00A36209" w:rsidP="001859D5">
            <w:pPr>
              <w:spacing w:line="360" w:lineRule="auto"/>
              <w:rPr>
                <w:rFonts w:ascii="仿宋" w:eastAsia="仿宋" w:hAnsi="仿宋" w:cs="仿宋"/>
                <w:sz w:val="28"/>
                <w:szCs w:val="28"/>
              </w:rPr>
            </w:pPr>
            <w:r>
              <w:rPr>
                <w:rFonts w:ascii="仿宋" w:eastAsia="仿宋" w:hAnsi="仿宋" w:cs="仿宋" w:hint="eastAsia"/>
                <w:sz w:val="28"/>
                <w:szCs w:val="28"/>
              </w:rPr>
              <w:t>2</w:t>
            </w:r>
          </w:p>
        </w:tc>
        <w:tc>
          <w:tcPr>
            <w:tcW w:w="1996" w:type="dxa"/>
          </w:tcPr>
          <w:p w:rsidR="00A36209" w:rsidRDefault="00A36209" w:rsidP="001859D5">
            <w:pPr>
              <w:spacing w:line="360" w:lineRule="auto"/>
              <w:rPr>
                <w:rFonts w:ascii="仿宋" w:eastAsia="仿宋" w:hAnsi="仿宋" w:cs="仿宋"/>
                <w:sz w:val="32"/>
                <w:szCs w:val="32"/>
              </w:rPr>
            </w:pPr>
          </w:p>
        </w:tc>
        <w:tc>
          <w:tcPr>
            <w:tcW w:w="1758" w:type="dxa"/>
          </w:tcPr>
          <w:p w:rsidR="00A36209" w:rsidRDefault="00A36209" w:rsidP="001859D5">
            <w:pPr>
              <w:spacing w:line="360" w:lineRule="auto"/>
              <w:rPr>
                <w:rFonts w:ascii="仿宋" w:eastAsia="仿宋" w:hAnsi="仿宋" w:cs="仿宋"/>
                <w:sz w:val="32"/>
                <w:szCs w:val="32"/>
              </w:rPr>
            </w:pPr>
          </w:p>
        </w:tc>
        <w:tc>
          <w:tcPr>
            <w:tcW w:w="1349" w:type="dxa"/>
          </w:tcPr>
          <w:p w:rsidR="00A36209" w:rsidRDefault="00A36209" w:rsidP="001859D5">
            <w:pPr>
              <w:spacing w:line="360" w:lineRule="auto"/>
              <w:rPr>
                <w:rFonts w:ascii="仿宋" w:eastAsia="仿宋" w:hAnsi="仿宋" w:cs="仿宋"/>
                <w:sz w:val="32"/>
                <w:szCs w:val="32"/>
              </w:rPr>
            </w:pPr>
          </w:p>
        </w:tc>
        <w:tc>
          <w:tcPr>
            <w:tcW w:w="2797" w:type="dxa"/>
          </w:tcPr>
          <w:p w:rsidR="00A36209" w:rsidRDefault="00A36209" w:rsidP="001859D5">
            <w:pPr>
              <w:spacing w:line="360" w:lineRule="auto"/>
              <w:rPr>
                <w:rFonts w:ascii="仿宋" w:eastAsia="仿宋" w:hAnsi="仿宋" w:cs="仿宋"/>
                <w:sz w:val="32"/>
                <w:szCs w:val="32"/>
              </w:rPr>
            </w:pPr>
          </w:p>
        </w:tc>
      </w:tr>
      <w:tr w:rsidR="00A36209" w:rsidTr="001859D5">
        <w:trPr>
          <w:trHeight w:val="405"/>
        </w:trPr>
        <w:tc>
          <w:tcPr>
            <w:tcW w:w="817" w:type="dxa"/>
          </w:tcPr>
          <w:p w:rsidR="00A36209" w:rsidRDefault="00A36209" w:rsidP="001859D5">
            <w:pPr>
              <w:spacing w:line="360" w:lineRule="auto"/>
              <w:rPr>
                <w:rFonts w:ascii="仿宋" w:eastAsia="仿宋" w:hAnsi="仿宋" w:cs="仿宋"/>
                <w:sz w:val="28"/>
                <w:szCs w:val="28"/>
              </w:rPr>
            </w:pPr>
            <w:r>
              <w:rPr>
                <w:rFonts w:ascii="仿宋" w:eastAsia="仿宋" w:hAnsi="仿宋" w:cs="仿宋" w:hint="eastAsia"/>
                <w:sz w:val="28"/>
                <w:szCs w:val="28"/>
              </w:rPr>
              <w:t>3</w:t>
            </w:r>
          </w:p>
        </w:tc>
        <w:tc>
          <w:tcPr>
            <w:tcW w:w="1996" w:type="dxa"/>
          </w:tcPr>
          <w:p w:rsidR="00A36209" w:rsidRDefault="00A36209" w:rsidP="001859D5">
            <w:pPr>
              <w:spacing w:line="360" w:lineRule="auto"/>
              <w:rPr>
                <w:rFonts w:ascii="仿宋" w:eastAsia="仿宋" w:hAnsi="仿宋" w:cs="仿宋"/>
                <w:sz w:val="32"/>
                <w:szCs w:val="32"/>
              </w:rPr>
            </w:pPr>
          </w:p>
        </w:tc>
        <w:tc>
          <w:tcPr>
            <w:tcW w:w="1758" w:type="dxa"/>
          </w:tcPr>
          <w:p w:rsidR="00A36209" w:rsidRDefault="00A36209" w:rsidP="001859D5">
            <w:pPr>
              <w:spacing w:line="360" w:lineRule="auto"/>
              <w:rPr>
                <w:rFonts w:ascii="仿宋" w:eastAsia="仿宋" w:hAnsi="仿宋" w:cs="仿宋"/>
                <w:sz w:val="32"/>
                <w:szCs w:val="32"/>
              </w:rPr>
            </w:pPr>
          </w:p>
        </w:tc>
        <w:tc>
          <w:tcPr>
            <w:tcW w:w="1349" w:type="dxa"/>
          </w:tcPr>
          <w:p w:rsidR="00A36209" w:rsidRDefault="00A36209" w:rsidP="001859D5">
            <w:pPr>
              <w:spacing w:line="360" w:lineRule="auto"/>
              <w:rPr>
                <w:rFonts w:ascii="仿宋" w:eastAsia="仿宋" w:hAnsi="仿宋" w:cs="仿宋"/>
                <w:sz w:val="32"/>
                <w:szCs w:val="32"/>
              </w:rPr>
            </w:pPr>
          </w:p>
        </w:tc>
        <w:tc>
          <w:tcPr>
            <w:tcW w:w="2797" w:type="dxa"/>
          </w:tcPr>
          <w:p w:rsidR="00A36209" w:rsidRDefault="00A36209" w:rsidP="001859D5">
            <w:pPr>
              <w:spacing w:line="360" w:lineRule="auto"/>
              <w:rPr>
                <w:rFonts w:ascii="仿宋" w:eastAsia="仿宋" w:hAnsi="仿宋" w:cs="仿宋"/>
                <w:sz w:val="32"/>
                <w:szCs w:val="32"/>
              </w:rPr>
            </w:pPr>
          </w:p>
        </w:tc>
      </w:tr>
      <w:tr w:rsidR="00A36209" w:rsidTr="001859D5">
        <w:trPr>
          <w:trHeight w:val="414"/>
        </w:trPr>
        <w:tc>
          <w:tcPr>
            <w:tcW w:w="817" w:type="dxa"/>
          </w:tcPr>
          <w:p w:rsidR="00A36209" w:rsidRDefault="00A36209" w:rsidP="001859D5">
            <w:pPr>
              <w:spacing w:line="360" w:lineRule="auto"/>
              <w:rPr>
                <w:rFonts w:ascii="仿宋" w:eastAsia="仿宋" w:hAnsi="仿宋" w:cs="仿宋"/>
                <w:sz w:val="28"/>
                <w:szCs w:val="28"/>
              </w:rPr>
            </w:pPr>
            <w:r>
              <w:rPr>
                <w:rFonts w:ascii="仿宋" w:eastAsia="仿宋" w:hAnsi="仿宋" w:cs="仿宋" w:hint="eastAsia"/>
                <w:sz w:val="28"/>
                <w:szCs w:val="28"/>
              </w:rPr>
              <w:t>4</w:t>
            </w:r>
          </w:p>
        </w:tc>
        <w:tc>
          <w:tcPr>
            <w:tcW w:w="1996" w:type="dxa"/>
          </w:tcPr>
          <w:p w:rsidR="00A36209" w:rsidRDefault="00A36209" w:rsidP="001859D5">
            <w:pPr>
              <w:spacing w:line="360" w:lineRule="auto"/>
              <w:rPr>
                <w:rFonts w:ascii="仿宋" w:eastAsia="仿宋" w:hAnsi="仿宋" w:cs="仿宋"/>
                <w:sz w:val="32"/>
                <w:szCs w:val="32"/>
              </w:rPr>
            </w:pPr>
          </w:p>
        </w:tc>
        <w:tc>
          <w:tcPr>
            <w:tcW w:w="1758" w:type="dxa"/>
          </w:tcPr>
          <w:p w:rsidR="00A36209" w:rsidRDefault="00A36209" w:rsidP="001859D5">
            <w:pPr>
              <w:spacing w:line="360" w:lineRule="auto"/>
              <w:rPr>
                <w:rFonts w:ascii="仿宋" w:eastAsia="仿宋" w:hAnsi="仿宋" w:cs="仿宋"/>
                <w:sz w:val="32"/>
                <w:szCs w:val="32"/>
              </w:rPr>
            </w:pPr>
          </w:p>
        </w:tc>
        <w:tc>
          <w:tcPr>
            <w:tcW w:w="1349" w:type="dxa"/>
          </w:tcPr>
          <w:p w:rsidR="00A36209" w:rsidRDefault="00A36209" w:rsidP="001859D5">
            <w:pPr>
              <w:spacing w:line="360" w:lineRule="auto"/>
              <w:rPr>
                <w:rFonts w:ascii="仿宋" w:eastAsia="仿宋" w:hAnsi="仿宋" w:cs="仿宋"/>
                <w:sz w:val="32"/>
                <w:szCs w:val="32"/>
              </w:rPr>
            </w:pPr>
          </w:p>
        </w:tc>
        <w:tc>
          <w:tcPr>
            <w:tcW w:w="2797" w:type="dxa"/>
          </w:tcPr>
          <w:p w:rsidR="00A36209" w:rsidRDefault="00A36209" w:rsidP="001859D5">
            <w:pPr>
              <w:spacing w:line="360" w:lineRule="auto"/>
              <w:rPr>
                <w:rFonts w:ascii="仿宋" w:eastAsia="仿宋" w:hAnsi="仿宋" w:cs="仿宋"/>
                <w:sz w:val="32"/>
                <w:szCs w:val="32"/>
              </w:rPr>
            </w:pPr>
          </w:p>
        </w:tc>
      </w:tr>
    </w:tbl>
    <w:p w:rsidR="00A36209" w:rsidRDefault="00A36209" w:rsidP="00A36209">
      <w:pPr>
        <w:spacing w:line="360" w:lineRule="auto"/>
        <w:ind w:firstLineChars="200" w:firstLine="560"/>
        <w:rPr>
          <w:rFonts w:ascii="仿宋" w:eastAsia="仿宋" w:hAnsi="仿宋" w:cs="仿宋"/>
          <w:sz w:val="28"/>
          <w:szCs w:val="28"/>
        </w:rPr>
      </w:pPr>
    </w:p>
    <w:p w:rsidR="00A36209" w:rsidRDefault="00A36209" w:rsidP="00A3620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对未按规定履行安全职责、违反安全管理制度的实验室，按照《生物医学科学与工程学院实验室安全管理办法》和《华南理工大学实验室安全责任追究办法（2022年修订）》等规定处理。</w:t>
      </w:r>
    </w:p>
    <w:p w:rsidR="00A36209" w:rsidRDefault="00A36209" w:rsidP="00A3620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此责任书一式两份，实验室、学院各执一份，自签订之日起生效，若遇实验室安全员离校或隔离，由实验室直接责任人重新指定实验室安全员继续履行职责。</w:t>
      </w:r>
    </w:p>
    <w:p w:rsidR="00A36209" w:rsidRDefault="00A36209" w:rsidP="00A36209">
      <w:pPr>
        <w:spacing w:line="360" w:lineRule="auto"/>
        <w:rPr>
          <w:rFonts w:ascii="仿宋" w:eastAsia="仿宋" w:hAnsi="仿宋" w:cs="仿宋"/>
          <w:b/>
          <w:bCs/>
          <w:sz w:val="28"/>
          <w:szCs w:val="28"/>
        </w:rPr>
      </w:pPr>
      <w:r>
        <w:rPr>
          <w:rFonts w:ascii="仿宋" w:eastAsia="仿宋" w:hAnsi="仿宋" w:cs="仿宋" w:hint="eastAsia"/>
          <w:b/>
          <w:bCs/>
          <w:sz w:val="28"/>
          <w:szCs w:val="28"/>
        </w:rPr>
        <w:t>实验室楼栋及房号：</w:t>
      </w:r>
      <w:r>
        <w:rPr>
          <w:rFonts w:ascii="仿宋" w:eastAsia="仿宋" w:hAnsi="仿宋" w:cs="仿宋" w:hint="eastAsia"/>
          <w:b/>
          <w:bCs/>
          <w:color w:val="000000" w:themeColor="text1"/>
          <w:sz w:val="28"/>
          <w:szCs w:val="28"/>
        </w:rPr>
        <w:t xml:space="preserve">_______________    </w:t>
      </w:r>
      <w:r>
        <w:rPr>
          <w:rFonts w:ascii="仿宋" w:eastAsia="仿宋" w:hAnsi="仿宋" w:cs="仿宋" w:hint="eastAsia"/>
          <w:b/>
          <w:bCs/>
          <w:sz w:val="28"/>
          <w:szCs w:val="28"/>
        </w:rPr>
        <w:t xml:space="preserve">        </w:t>
      </w:r>
    </w:p>
    <w:p w:rsidR="00A36209" w:rsidRDefault="00A36209" w:rsidP="00A36209">
      <w:pPr>
        <w:spacing w:line="360" w:lineRule="auto"/>
        <w:rPr>
          <w:rFonts w:ascii="仿宋" w:eastAsia="仿宋" w:hAnsi="仿宋" w:cs="仿宋"/>
          <w:b/>
          <w:bCs/>
          <w:color w:val="000000" w:themeColor="text1"/>
          <w:sz w:val="28"/>
          <w:szCs w:val="28"/>
        </w:rPr>
      </w:pPr>
      <w:r>
        <w:rPr>
          <w:rFonts w:ascii="仿宋" w:eastAsia="仿宋" w:hAnsi="仿宋" w:cs="仿宋" w:hint="eastAsia"/>
          <w:b/>
          <w:bCs/>
          <w:sz w:val="28"/>
          <w:szCs w:val="28"/>
        </w:rPr>
        <w:t>实验室直接责任人：   实验室安全员</w:t>
      </w:r>
      <w:r>
        <w:rPr>
          <w:rFonts w:ascii="仿宋" w:eastAsia="仿宋" w:hAnsi="仿宋" w:cs="仿宋" w:hint="eastAsia"/>
          <w:sz w:val="28"/>
          <w:szCs w:val="28"/>
        </w:rPr>
        <w:t xml:space="preserve">： </w:t>
      </w:r>
      <w:r>
        <w:rPr>
          <w:rFonts w:ascii="仿宋" w:eastAsia="仿宋" w:hAnsi="仿宋" w:cs="仿宋" w:hint="eastAsia"/>
          <w:b/>
          <w:bCs/>
          <w:color w:val="000000" w:themeColor="text1"/>
          <w:sz w:val="28"/>
          <w:szCs w:val="28"/>
        </w:rPr>
        <w:t xml:space="preserve">实验活动的安全责任人：  </w:t>
      </w:r>
    </w:p>
    <w:p w:rsidR="00A36209" w:rsidRDefault="00A36209" w:rsidP="00A36209">
      <w:pPr>
        <w:spacing w:line="360" w:lineRule="auto"/>
        <w:rPr>
          <w:rFonts w:ascii="仿宋" w:eastAsia="仿宋" w:hAnsi="仿宋" w:cs="仿宋"/>
          <w:sz w:val="28"/>
          <w:szCs w:val="28"/>
        </w:rPr>
      </w:pPr>
      <w:r>
        <w:rPr>
          <w:rFonts w:ascii="仿宋" w:eastAsia="仿宋" w:hAnsi="仿宋" w:cs="仿宋" w:hint="eastAsia"/>
          <w:b/>
          <w:bCs/>
          <w:color w:val="000000" w:themeColor="text1"/>
          <w:sz w:val="28"/>
          <w:szCs w:val="28"/>
        </w:rPr>
        <w:t>（签字）</w:t>
      </w:r>
      <w:r>
        <w:rPr>
          <w:rFonts w:ascii="仿宋" w:eastAsia="仿宋" w:hAnsi="仿宋" w:cs="仿宋" w:hint="eastAsia"/>
          <w:sz w:val="28"/>
          <w:szCs w:val="28"/>
        </w:rPr>
        <w:t xml:space="preserve">：           </w:t>
      </w:r>
      <w:r>
        <w:rPr>
          <w:rFonts w:ascii="仿宋" w:eastAsia="仿宋" w:hAnsi="仿宋" w:cs="仿宋" w:hint="eastAsia"/>
          <w:b/>
          <w:bCs/>
          <w:sz w:val="28"/>
          <w:szCs w:val="28"/>
        </w:rPr>
        <w:t>（签字）        （签字）</w:t>
      </w:r>
    </w:p>
    <w:p w:rsidR="00A36209" w:rsidRDefault="00A36209" w:rsidP="00A36209">
      <w:pPr>
        <w:rPr>
          <w:rFonts w:ascii="仿宋" w:eastAsia="仿宋" w:hAnsi="仿宋" w:cs="仿宋"/>
          <w:sz w:val="28"/>
          <w:szCs w:val="28"/>
        </w:rPr>
      </w:pPr>
      <w:r>
        <w:rPr>
          <w:rFonts w:ascii="仿宋" w:eastAsia="仿宋" w:hAnsi="仿宋" w:cs="仿宋" w:hint="eastAsia"/>
          <w:sz w:val="28"/>
          <w:szCs w:val="28"/>
        </w:rPr>
        <w:t xml:space="preserve">日期：               日期：          日期：          </w:t>
      </w:r>
      <w:r>
        <w:rPr>
          <w:rFonts w:ascii="仿宋" w:eastAsia="仿宋" w:hAnsi="仿宋" w:cs="仿宋" w:hint="eastAsia"/>
          <w:sz w:val="28"/>
          <w:szCs w:val="28"/>
        </w:rPr>
        <w:br w:type="page"/>
      </w:r>
      <w:bookmarkStart w:id="0" w:name="_GoBack"/>
      <w:bookmarkEnd w:id="0"/>
    </w:p>
    <w:sectPr w:rsidR="00A362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708" w:rsidRDefault="004A6708" w:rsidP="007511EE">
      <w:r>
        <w:separator/>
      </w:r>
    </w:p>
  </w:endnote>
  <w:endnote w:type="continuationSeparator" w:id="0">
    <w:p w:rsidR="004A6708" w:rsidRDefault="004A6708" w:rsidP="0075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708" w:rsidRDefault="004A6708" w:rsidP="007511EE">
      <w:r>
        <w:separator/>
      </w:r>
    </w:p>
  </w:footnote>
  <w:footnote w:type="continuationSeparator" w:id="0">
    <w:p w:rsidR="004A6708" w:rsidRDefault="004A6708" w:rsidP="007511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3C558A"/>
    <w:multiLevelType w:val="singleLevel"/>
    <w:tmpl w:val="F93C558A"/>
    <w:lvl w:ilvl="0">
      <w:start w:val="2"/>
      <w:numFmt w:val="decimal"/>
      <w:suff w:val="space"/>
      <w:lvlText w:val="%1."/>
      <w:lvlJc w:val="left"/>
    </w:lvl>
  </w:abstractNum>
  <w:abstractNum w:abstractNumId="1" w15:restartNumberingAfterBreak="0">
    <w:nsid w:val="50812F27"/>
    <w:multiLevelType w:val="singleLevel"/>
    <w:tmpl w:val="50812F27"/>
    <w:lvl w:ilvl="0">
      <w:start w:val="2"/>
      <w:numFmt w:val="chineseCounting"/>
      <w:suff w:val="nothing"/>
      <w:lvlText w:val="（%1）"/>
      <w:lvlJc w:val="left"/>
      <w:rPr>
        <w:rFonts w:hint="eastAsia"/>
      </w:rPr>
    </w:lvl>
  </w:abstractNum>
  <w:abstractNum w:abstractNumId="2" w15:restartNumberingAfterBreak="0">
    <w:nsid w:val="6B157240"/>
    <w:multiLevelType w:val="singleLevel"/>
    <w:tmpl w:val="6B157240"/>
    <w:lvl w:ilvl="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09"/>
    <w:rsid w:val="004A6708"/>
    <w:rsid w:val="007511EE"/>
    <w:rsid w:val="00A36209"/>
    <w:rsid w:val="00AC2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655EB"/>
  <w15:chartTrackingRefBased/>
  <w15:docId w15:val="{03DC741F-304B-4A08-BABB-7BA25030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A362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uiPriority w:val="39"/>
    <w:qFormat/>
    <w:rsid w:val="00A3620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11E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511EE"/>
    <w:rPr>
      <w:rFonts w:ascii="Times New Roman" w:eastAsia="宋体" w:hAnsi="Times New Roman" w:cs="Times New Roman"/>
      <w:sz w:val="18"/>
      <w:szCs w:val="18"/>
    </w:rPr>
  </w:style>
  <w:style w:type="paragraph" w:styleId="a6">
    <w:name w:val="footer"/>
    <w:basedOn w:val="a"/>
    <w:link w:val="a7"/>
    <w:uiPriority w:val="99"/>
    <w:unhideWhenUsed/>
    <w:rsid w:val="007511EE"/>
    <w:pPr>
      <w:tabs>
        <w:tab w:val="center" w:pos="4153"/>
        <w:tab w:val="right" w:pos="8306"/>
      </w:tabs>
      <w:snapToGrid w:val="0"/>
      <w:jc w:val="left"/>
    </w:pPr>
    <w:rPr>
      <w:sz w:val="18"/>
      <w:szCs w:val="18"/>
    </w:rPr>
  </w:style>
  <w:style w:type="character" w:customStyle="1" w:styleId="a7">
    <w:name w:val="页脚 字符"/>
    <w:basedOn w:val="a0"/>
    <w:link w:val="a6"/>
    <w:uiPriority w:val="99"/>
    <w:rsid w:val="007511E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2026-07-17T11:01:00Z</dcterms:created>
  <dcterms:modified xsi:type="dcterms:W3CDTF">2026-07-20T07:45:00Z</dcterms:modified>
</cp:coreProperties>
</file>