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FBC" w:rsidRDefault="00132FBC">
      <w:pPr>
        <w:spacing w:line="360" w:lineRule="auto"/>
        <w:rPr>
          <w:rFonts w:ascii="Times New Roman" w:hAnsi="Times New Roman" w:cs="宋体" w:hint="eastAsia"/>
          <w:b/>
          <w:bCs/>
          <w:sz w:val="24"/>
          <w:szCs w:val="24"/>
        </w:rPr>
      </w:pPr>
      <w:r>
        <w:rPr>
          <w:rFonts w:ascii="Times New Roman" w:hAnsi="Times New Roman" w:cs="宋体" w:hint="eastAsia"/>
          <w:b/>
          <w:bCs/>
          <w:sz w:val="24"/>
          <w:szCs w:val="24"/>
        </w:rPr>
        <w:t>一、导师简介</w:t>
      </w:r>
    </w:p>
    <w:p w:rsidR="00F24EDF" w:rsidRDefault="00F24EDF">
      <w:pPr>
        <w:spacing w:line="360" w:lineRule="auto"/>
        <w:rPr>
          <w:rFonts w:ascii="Times New Roman" w:hAnsi="Times New Roman" w:cs="宋体" w:hint="eastAsia"/>
          <w:b/>
          <w:bCs/>
          <w:sz w:val="24"/>
          <w:szCs w:val="24"/>
        </w:rPr>
      </w:pPr>
      <w:r>
        <w:rPr>
          <w:noProof/>
        </w:rPr>
        <w:drawing>
          <wp:inline distT="0" distB="0" distL="0" distR="0">
            <wp:extent cx="1720850" cy="2425700"/>
            <wp:effectExtent l="19050" t="0" r="0" b="0"/>
            <wp:docPr id="1" name="图片 1" descr="C:\Users\netuser\Desktop\导师招生宣介资料\杜欣\杜欣.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tuser\Desktop\导师招生宣介资料\杜欣\杜欣.gif"/>
                    <pic:cNvPicPr>
                      <a:picLocks noChangeAspect="1" noChangeArrowheads="1"/>
                    </pic:cNvPicPr>
                  </pic:nvPicPr>
                  <pic:blipFill>
                    <a:blip r:embed="rId7"/>
                    <a:srcRect/>
                    <a:stretch>
                      <a:fillRect/>
                    </a:stretch>
                  </pic:blipFill>
                  <pic:spPr bwMode="auto">
                    <a:xfrm>
                      <a:off x="0" y="0"/>
                      <a:ext cx="1720850" cy="2425700"/>
                    </a:xfrm>
                    <a:prstGeom prst="rect">
                      <a:avLst/>
                    </a:prstGeom>
                    <a:noFill/>
                    <a:ln w="9525">
                      <a:noFill/>
                      <a:miter lim="800000"/>
                      <a:headEnd/>
                      <a:tailEnd/>
                    </a:ln>
                  </pic:spPr>
                </pic:pic>
              </a:graphicData>
            </a:graphic>
          </wp:inline>
        </w:drawing>
      </w:r>
    </w:p>
    <w:p w:rsidR="00132FBC" w:rsidRDefault="00132FBC">
      <w:pPr>
        <w:spacing w:line="360" w:lineRule="auto"/>
        <w:rPr>
          <w:rFonts w:ascii="Times New Roman" w:hAnsi="Times New Roman" w:cs="Times New Roman"/>
          <w:b/>
          <w:bCs/>
          <w:sz w:val="24"/>
          <w:szCs w:val="24"/>
        </w:rPr>
      </w:pPr>
      <w:r>
        <w:rPr>
          <w:rFonts w:ascii="Times New Roman" w:hAnsi="Times New Roman" w:cs="宋体" w:hint="eastAsia"/>
          <w:b/>
          <w:bCs/>
          <w:sz w:val="24"/>
          <w:szCs w:val="24"/>
        </w:rPr>
        <w:t>基本情况</w:t>
      </w:r>
    </w:p>
    <w:p w:rsidR="00132FBC" w:rsidRDefault="00132FBC" w:rsidP="00FE0DDD">
      <w:pPr>
        <w:spacing w:line="360" w:lineRule="auto"/>
        <w:ind w:firstLineChars="248" w:firstLine="595"/>
        <w:rPr>
          <w:rFonts w:ascii="宋体" w:cs="Times New Roman"/>
          <w:color w:val="000000"/>
          <w:sz w:val="24"/>
          <w:szCs w:val="24"/>
        </w:rPr>
      </w:pPr>
      <w:r>
        <w:rPr>
          <w:rFonts w:ascii="宋体" w:hAnsi="宋体" w:cs="宋体" w:hint="eastAsia"/>
          <w:color w:val="000000"/>
          <w:sz w:val="24"/>
          <w:szCs w:val="24"/>
        </w:rPr>
        <w:t>杜欣，广东省人民医院血液内科行政主任，医学博士，主任医师，教授，博士生导师。中央保健委员会第四届中央保健会诊专家，中山大学、南方医科大学、华南理工大学医学院、汕头大学医学院兼职教授。曾</w:t>
      </w:r>
      <w:r>
        <w:rPr>
          <w:rFonts w:cs="宋体" w:hint="eastAsia"/>
          <w:sz w:val="24"/>
          <w:szCs w:val="24"/>
        </w:rPr>
        <w:t>在美国安德森肿瘤中心（</w:t>
      </w:r>
      <w:r>
        <w:rPr>
          <w:sz w:val="24"/>
          <w:szCs w:val="24"/>
        </w:rPr>
        <w:t>M.D. Anderson Cancer Center</w:t>
      </w:r>
      <w:r>
        <w:rPr>
          <w:rFonts w:cs="宋体" w:hint="eastAsia"/>
          <w:sz w:val="24"/>
          <w:szCs w:val="24"/>
        </w:rPr>
        <w:t>）白血病科以及淋巴瘤骨髓瘤科进修学习。现</w:t>
      </w:r>
      <w:r>
        <w:rPr>
          <w:rFonts w:ascii="宋体" w:hAnsi="宋体" w:cs="宋体" w:hint="eastAsia"/>
          <w:color w:val="000000"/>
          <w:sz w:val="24"/>
          <w:szCs w:val="24"/>
        </w:rPr>
        <w:t>兼任中国抗癌协会血液肿瘤专业委员会常委；中华医学会肿瘤学分会淋巴瘤专家工作组成员；中华医学会血液学分会红血组专家组成员；广东省中西医结合学会血液病专业委员会主任委员；广东省医学会第一届细胞治疗学分会副主任委员；广州干细胞联盟副理事长。</w:t>
      </w:r>
      <w:r>
        <w:rPr>
          <w:rFonts w:ascii="宋体" w:hAnsi="宋体" w:cs="宋体"/>
          <w:color w:val="000000"/>
          <w:sz w:val="24"/>
          <w:szCs w:val="24"/>
        </w:rPr>
        <w:t>2005</w:t>
      </w:r>
      <w:r>
        <w:rPr>
          <w:rFonts w:ascii="宋体" w:hAnsi="宋体" w:cs="宋体" w:hint="eastAsia"/>
          <w:color w:val="000000"/>
          <w:sz w:val="24"/>
          <w:szCs w:val="24"/>
        </w:rPr>
        <w:t>年国家科学技术进步奖评审专家；国家自然科学基金评审专家。中国白血病、淋巴瘤诊治指南制订专家；《中华血液学杂志》通讯编委、《国际输血及血液学杂志》、《循证医学》、《肿瘤防治研究》、《临床内科杂志》杂志编委。</w:t>
      </w:r>
    </w:p>
    <w:p w:rsidR="00132FBC" w:rsidRDefault="00132FBC">
      <w:pPr>
        <w:spacing w:line="360" w:lineRule="auto"/>
        <w:rPr>
          <w:rFonts w:ascii="Times New Roman" w:hAnsi="Times New Roman" w:cs="Times New Roman"/>
          <w:b/>
          <w:bCs/>
          <w:sz w:val="24"/>
          <w:szCs w:val="24"/>
        </w:rPr>
      </w:pPr>
    </w:p>
    <w:p w:rsidR="00132FBC" w:rsidRDefault="00132FBC">
      <w:pPr>
        <w:spacing w:line="360" w:lineRule="auto"/>
        <w:rPr>
          <w:rFonts w:ascii="Times New Roman" w:hAnsi="Times New Roman" w:cs="Times New Roman"/>
          <w:b/>
          <w:bCs/>
          <w:sz w:val="24"/>
          <w:szCs w:val="24"/>
        </w:rPr>
      </w:pPr>
      <w:r>
        <w:rPr>
          <w:rFonts w:ascii="Times New Roman" w:hAnsi="Times New Roman" w:cs="宋体" w:hint="eastAsia"/>
          <w:b/>
          <w:bCs/>
          <w:sz w:val="24"/>
          <w:szCs w:val="24"/>
        </w:rPr>
        <w:t>主要研究方向</w:t>
      </w:r>
      <w:r>
        <w:rPr>
          <w:rFonts w:ascii="Times New Roman" w:hAnsi="Times New Roman" w:cs="Times New Roman"/>
          <w:b/>
          <w:bCs/>
          <w:sz w:val="24"/>
          <w:szCs w:val="24"/>
        </w:rPr>
        <w:t xml:space="preserve"> </w:t>
      </w:r>
    </w:p>
    <w:p w:rsidR="00132FBC" w:rsidRPr="002415C4" w:rsidRDefault="00132FBC">
      <w:pPr>
        <w:spacing w:line="360" w:lineRule="auto"/>
        <w:rPr>
          <w:rFonts w:ascii="Times New Roman" w:hAnsi="Times New Roman" w:cs="Times New Roman"/>
          <w:sz w:val="24"/>
          <w:szCs w:val="24"/>
        </w:rPr>
      </w:pPr>
      <w:r w:rsidRPr="002415C4">
        <w:rPr>
          <w:rFonts w:ascii="Times New Roman" w:hAnsi="Times New Roman" w:cs="宋体" w:hint="eastAsia"/>
          <w:sz w:val="24"/>
          <w:szCs w:val="24"/>
        </w:rPr>
        <w:t>（</w:t>
      </w:r>
      <w:r w:rsidRPr="002415C4">
        <w:rPr>
          <w:rFonts w:ascii="Times New Roman" w:hAnsi="Times New Roman" w:cs="Times New Roman"/>
          <w:sz w:val="24"/>
          <w:szCs w:val="24"/>
        </w:rPr>
        <w:t>1</w:t>
      </w:r>
      <w:r w:rsidRPr="002415C4">
        <w:rPr>
          <w:rFonts w:ascii="Times New Roman" w:hAnsi="Times New Roman" w:cs="宋体" w:hint="eastAsia"/>
          <w:sz w:val="24"/>
          <w:szCs w:val="24"/>
        </w:rPr>
        <w:t>）慢性</w:t>
      </w:r>
      <w:r w:rsidRPr="002415C4">
        <w:rPr>
          <w:rFonts w:cs="宋体" w:hint="eastAsia"/>
          <w:sz w:val="24"/>
          <w:szCs w:val="24"/>
        </w:rPr>
        <w:t>移植物抗宿主病（</w:t>
      </w:r>
      <w:r w:rsidRPr="002415C4">
        <w:rPr>
          <w:sz w:val="24"/>
          <w:szCs w:val="24"/>
        </w:rPr>
        <w:t>cGVHD</w:t>
      </w:r>
      <w:r w:rsidRPr="002415C4">
        <w:rPr>
          <w:rFonts w:cs="宋体" w:hint="eastAsia"/>
          <w:sz w:val="24"/>
          <w:szCs w:val="24"/>
        </w:rPr>
        <w:t>）</w:t>
      </w:r>
      <w:r w:rsidRPr="002415C4">
        <w:rPr>
          <w:rFonts w:ascii="Times New Roman" w:hAnsi="Times New Roman" w:cs="宋体" w:hint="eastAsia"/>
          <w:sz w:val="24"/>
          <w:szCs w:val="24"/>
        </w:rPr>
        <w:t>的基础与临床研究：</w:t>
      </w:r>
    </w:p>
    <w:p w:rsidR="00132FBC" w:rsidRDefault="00132FBC" w:rsidP="00FE0DDD">
      <w:pPr>
        <w:spacing w:line="360" w:lineRule="auto"/>
        <w:ind w:firstLineChars="200" w:firstLine="480"/>
        <w:rPr>
          <w:rFonts w:ascii="Times New Roman" w:hAnsi="Times New Roman" w:cs="Times New Roman"/>
          <w:sz w:val="24"/>
          <w:szCs w:val="24"/>
        </w:rPr>
      </w:pPr>
      <w:r>
        <w:rPr>
          <w:rFonts w:cs="宋体" w:hint="eastAsia"/>
          <w:sz w:val="24"/>
          <w:szCs w:val="24"/>
        </w:rPr>
        <w:t>慢性</w:t>
      </w:r>
      <w:r>
        <w:rPr>
          <w:sz w:val="24"/>
          <w:szCs w:val="24"/>
        </w:rPr>
        <w:t>GVHD</w:t>
      </w:r>
      <w:r>
        <w:rPr>
          <w:rFonts w:cs="宋体" w:hint="eastAsia"/>
          <w:sz w:val="24"/>
          <w:szCs w:val="24"/>
        </w:rPr>
        <w:t>是异基因造血干细胞移植后的主要并发症和主要死亡原因之一，是严重影响受者长期存活和生活质量的主要原因。如何在降低肿瘤复发的同时，延长</w:t>
      </w:r>
      <w:r>
        <w:rPr>
          <w:sz w:val="24"/>
          <w:szCs w:val="24"/>
        </w:rPr>
        <w:t>cGVHD</w:t>
      </w:r>
      <w:r>
        <w:rPr>
          <w:rFonts w:cs="宋体" w:hint="eastAsia"/>
          <w:sz w:val="24"/>
          <w:szCs w:val="24"/>
        </w:rPr>
        <w:t>患者的生存时间以及提高生活质量是我们研究的重点。</w:t>
      </w:r>
      <w:r>
        <w:rPr>
          <w:rFonts w:ascii="Times New Roman" w:hAnsi="Times New Roman" w:cs="宋体" w:hint="eastAsia"/>
          <w:sz w:val="24"/>
          <w:szCs w:val="24"/>
        </w:rPr>
        <w:t>杜欣教授自</w:t>
      </w:r>
      <w:r>
        <w:rPr>
          <w:rFonts w:ascii="Times New Roman" w:hAnsi="Times New Roman" w:cs="Times New Roman"/>
          <w:sz w:val="24"/>
          <w:szCs w:val="24"/>
        </w:rPr>
        <w:t>1996</w:t>
      </w:r>
      <w:r>
        <w:rPr>
          <w:rFonts w:ascii="Times New Roman" w:hAnsi="Times New Roman" w:cs="宋体" w:hint="eastAsia"/>
          <w:sz w:val="24"/>
          <w:szCs w:val="24"/>
        </w:rPr>
        <w:t>年开始从事造</w:t>
      </w:r>
      <w:r>
        <w:rPr>
          <w:rFonts w:cs="宋体" w:hint="eastAsia"/>
          <w:sz w:val="24"/>
          <w:szCs w:val="24"/>
        </w:rPr>
        <w:t>血</w:t>
      </w:r>
      <w:r>
        <w:rPr>
          <w:rFonts w:ascii="Times New Roman" w:hAnsi="Times New Roman" w:cs="宋体" w:hint="eastAsia"/>
          <w:sz w:val="24"/>
          <w:szCs w:val="24"/>
        </w:rPr>
        <w:t>干细胞移植及移植免疫与肿瘤免疫的研究，</w:t>
      </w:r>
      <w:r>
        <w:rPr>
          <w:rFonts w:cs="宋体" w:hint="eastAsia"/>
          <w:sz w:val="24"/>
          <w:szCs w:val="24"/>
        </w:rPr>
        <w:t>创新性提出</w:t>
      </w:r>
      <w:r>
        <w:rPr>
          <w:sz w:val="24"/>
          <w:szCs w:val="24"/>
        </w:rPr>
        <w:t>FABC</w:t>
      </w:r>
      <w:r>
        <w:rPr>
          <w:rFonts w:cs="宋体" w:hint="eastAsia"/>
          <w:sz w:val="24"/>
          <w:szCs w:val="24"/>
        </w:rPr>
        <w:t>预处理体系并在临床实践中获得良好的移植效果。在国内</w:t>
      </w:r>
      <w:r>
        <w:rPr>
          <w:rFonts w:ascii="Times New Roman" w:hAnsi="Times New Roman" w:cs="宋体" w:hint="eastAsia"/>
          <w:sz w:val="24"/>
          <w:szCs w:val="24"/>
        </w:rPr>
        <w:t>较早开展移植物</w:t>
      </w:r>
      <w:r>
        <w:rPr>
          <w:rFonts w:ascii="Times New Roman" w:hAnsi="Times New Roman" w:cs="宋体" w:hint="eastAsia"/>
          <w:sz w:val="24"/>
          <w:szCs w:val="24"/>
        </w:rPr>
        <w:lastRenderedPageBreak/>
        <w:t>抗宿主病（</w:t>
      </w:r>
      <w:r>
        <w:rPr>
          <w:rFonts w:ascii="Times New Roman" w:hAnsi="Times New Roman" w:cs="Times New Roman"/>
          <w:sz w:val="24"/>
          <w:szCs w:val="24"/>
        </w:rPr>
        <w:t>GVHD</w:t>
      </w:r>
      <w:r>
        <w:rPr>
          <w:rFonts w:ascii="Times New Roman" w:hAnsi="Times New Roman" w:cs="宋体" w:hint="eastAsia"/>
          <w:sz w:val="24"/>
          <w:szCs w:val="24"/>
        </w:rPr>
        <w:t>）的基础与临床研究。首次应用间充质干细胞（</w:t>
      </w:r>
      <w:r>
        <w:rPr>
          <w:rFonts w:ascii="Times New Roman" w:hAnsi="Times New Roman" w:cs="Times New Roman"/>
          <w:sz w:val="24"/>
          <w:szCs w:val="24"/>
        </w:rPr>
        <w:t>MSC</w:t>
      </w:r>
      <w:r>
        <w:rPr>
          <w:rFonts w:ascii="Times New Roman" w:hAnsi="Times New Roman" w:cs="宋体" w:hint="eastAsia"/>
          <w:sz w:val="24"/>
          <w:szCs w:val="24"/>
        </w:rPr>
        <w:t>）治疗难治复发</w:t>
      </w:r>
      <w:r>
        <w:rPr>
          <w:rFonts w:cs="宋体" w:hint="eastAsia"/>
          <w:sz w:val="24"/>
          <w:szCs w:val="24"/>
        </w:rPr>
        <w:t>的</w:t>
      </w:r>
      <w:r>
        <w:rPr>
          <w:rFonts w:ascii="Times New Roman" w:hAnsi="Times New Roman" w:cs="宋体" w:hint="eastAsia"/>
          <w:sz w:val="24"/>
          <w:szCs w:val="24"/>
        </w:rPr>
        <w:t>慢性</w:t>
      </w:r>
      <w:r>
        <w:rPr>
          <w:rFonts w:ascii="Times New Roman" w:hAnsi="Times New Roman" w:cs="Times New Roman"/>
          <w:sz w:val="24"/>
          <w:szCs w:val="24"/>
        </w:rPr>
        <w:t>GVHD</w:t>
      </w:r>
      <w:r>
        <w:rPr>
          <w:rFonts w:ascii="Times New Roman" w:hAnsi="Times New Roman" w:cs="宋体" w:hint="eastAsia"/>
          <w:sz w:val="24"/>
          <w:szCs w:val="24"/>
        </w:rPr>
        <w:t>患者，引起国际同行</w:t>
      </w:r>
      <w:r>
        <w:rPr>
          <w:rFonts w:cs="宋体" w:hint="eastAsia"/>
          <w:sz w:val="24"/>
          <w:szCs w:val="24"/>
        </w:rPr>
        <w:t>关注，并撰文给予高度评价，</w:t>
      </w:r>
      <w:r>
        <w:rPr>
          <w:rFonts w:ascii="Times New Roman" w:hAnsi="Times New Roman" w:cs="宋体" w:hint="eastAsia"/>
          <w:sz w:val="24"/>
          <w:szCs w:val="24"/>
        </w:rPr>
        <w:t>认为本研究为难治性</w:t>
      </w:r>
      <w:r>
        <w:rPr>
          <w:rFonts w:ascii="Times New Roman" w:hAnsi="Times New Roman" w:cs="Times New Roman"/>
          <w:sz w:val="24"/>
          <w:szCs w:val="24"/>
        </w:rPr>
        <w:t>GVHD</w:t>
      </w:r>
      <w:r>
        <w:rPr>
          <w:rFonts w:ascii="Times New Roman" w:hAnsi="Times New Roman" w:cs="宋体" w:hint="eastAsia"/>
          <w:sz w:val="24"/>
          <w:szCs w:val="24"/>
        </w:rPr>
        <w:t>提供了新的治疗策略，为慢性</w:t>
      </w:r>
      <w:r>
        <w:rPr>
          <w:rFonts w:ascii="Times New Roman" w:hAnsi="Times New Roman" w:cs="Times New Roman"/>
          <w:sz w:val="24"/>
          <w:szCs w:val="24"/>
        </w:rPr>
        <w:t>GVHD</w:t>
      </w:r>
      <w:r>
        <w:rPr>
          <w:rFonts w:ascii="Times New Roman" w:hAnsi="Times New Roman" w:cs="宋体" w:hint="eastAsia"/>
          <w:sz w:val="24"/>
          <w:szCs w:val="24"/>
        </w:rPr>
        <w:t>发病机制提供了新思路，并被国际指南（</w:t>
      </w:r>
      <w:r>
        <w:rPr>
          <w:rFonts w:ascii="Times New Roman" w:hAnsi="Times New Roman" w:cs="Times New Roman"/>
          <w:sz w:val="24"/>
          <w:szCs w:val="24"/>
        </w:rPr>
        <w:t>BCSH/BSBMT Guideline</w:t>
      </w:r>
      <w:r>
        <w:rPr>
          <w:rFonts w:ascii="Times New Roman" w:hAnsi="Times New Roman" w:cs="宋体" w:hint="eastAsia"/>
          <w:sz w:val="24"/>
          <w:szCs w:val="24"/>
        </w:rPr>
        <w:t>）推荐。相关研究在该领域承担或已完成国家自然基金</w:t>
      </w:r>
      <w:r>
        <w:rPr>
          <w:rFonts w:ascii="Times New Roman" w:hAnsi="Times New Roman" w:cs="Times New Roman"/>
          <w:sz w:val="24"/>
          <w:szCs w:val="24"/>
        </w:rPr>
        <w:t>6</w:t>
      </w:r>
      <w:r>
        <w:rPr>
          <w:rFonts w:ascii="Times New Roman" w:hAnsi="Times New Roman" w:cs="宋体" w:hint="eastAsia"/>
          <w:sz w:val="24"/>
          <w:szCs w:val="24"/>
        </w:rPr>
        <w:t>项，省市级课题</w:t>
      </w:r>
      <w:r>
        <w:rPr>
          <w:rFonts w:ascii="Times New Roman" w:hAnsi="Times New Roman" w:cs="Times New Roman"/>
          <w:sz w:val="24"/>
          <w:szCs w:val="24"/>
        </w:rPr>
        <w:t>10</w:t>
      </w:r>
      <w:r>
        <w:rPr>
          <w:rFonts w:ascii="Times New Roman" w:hAnsi="Times New Roman" w:cs="宋体" w:hint="eastAsia"/>
          <w:sz w:val="24"/>
          <w:szCs w:val="24"/>
        </w:rPr>
        <w:t>项。并分别获得教育部科技成果二等奖、广东省科技进步三等奖、广州科技进步二等奖，获国家发明专利授权一项。</w:t>
      </w:r>
    </w:p>
    <w:p w:rsidR="00132FBC" w:rsidRDefault="00132FBC" w:rsidP="00FE0DDD">
      <w:pPr>
        <w:spacing w:line="360" w:lineRule="auto"/>
        <w:ind w:firstLineChars="200" w:firstLine="480"/>
        <w:rPr>
          <w:rFonts w:ascii="Times New Roman" w:hAnsi="Times New Roman" w:cs="Times New Roman"/>
          <w:sz w:val="24"/>
          <w:szCs w:val="24"/>
        </w:rPr>
      </w:pPr>
    </w:p>
    <w:p w:rsidR="00132FBC" w:rsidRDefault="00132FBC">
      <w:pPr>
        <w:spacing w:line="360" w:lineRule="auto"/>
        <w:rPr>
          <w:rFonts w:ascii="宋体" w:cs="Times New Roman"/>
          <w:b/>
          <w:bCs/>
          <w:sz w:val="24"/>
          <w:szCs w:val="24"/>
        </w:rPr>
      </w:pPr>
    </w:p>
    <w:p w:rsidR="00132FBC" w:rsidRDefault="00132FBC">
      <w:pPr>
        <w:spacing w:line="360" w:lineRule="auto"/>
        <w:rPr>
          <w:rFonts w:ascii="宋体" w:cs="Times New Roman"/>
          <w:b/>
          <w:bCs/>
          <w:sz w:val="24"/>
          <w:szCs w:val="24"/>
        </w:rPr>
      </w:pPr>
      <w:r>
        <w:rPr>
          <w:rFonts w:ascii="宋体" w:hAnsi="宋体" w:cs="宋体" w:hint="eastAsia"/>
          <w:b/>
          <w:bCs/>
          <w:sz w:val="24"/>
          <w:szCs w:val="24"/>
        </w:rPr>
        <w:t>（</w:t>
      </w:r>
      <w:r>
        <w:rPr>
          <w:rFonts w:ascii="宋体" w:hAnsi="宋体" w:cs="宋体"/>
          <w:b/>
          <w:bCs/>
          <w:sz w:val="24"/>
          <w:szCs w:val="24"/>
        </w:rPr>
        <w:t>2</w:t>
      </w:r>
      <w:r>
        <w:rPr>
          <w:rFonts w:ascii="宋体" w:hAnsi="宋体" w:cs="宋体" w:hint="eastAsia"/>
          <w:b/>
          <w:bCs/>
          <w:sz w:val="24"/>
          <w:szCs w:val="24"/>
        </w:rPr>
        <w:t>）骨髓增生异常综合征（</w:t>
      </w:r>
      <w:r>
        <w:rPr>
          <w:rFonts w:ascii="宋体" w:hAnsi="宋体" w:cs="宋体"/>
          <w:b/>
          <w:bCs/>
          <w:sz w:val="24"/>
          <w:szCs w:val="24"/>
        </w:rPr>
        <w:t>MDS</w:t>
      </w:r>
      <w:r>
        <w:rPr>
          <w:rFonts w:ascii="宋体" w:hAnsi="宋体" w:cs="宋体" w:hint="eastAsia"/>
          <w:b/>
          <w:bCs/>
          <w:sz w:val="24"/>
          <w:szCs w:val="24"/>
        </w:rPr>
        <w:t>）的基础与临床研究</w:t>
      </w:r>
    </w:p>
    <w:p w:rsidR="00132FBC" w:rsidRPr="00AD0E3B" w:rsidRDefault="00132FBC" w:rsidP="00FE0DDD">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 MDS</w:t>
      </w:r>
      <w:r>
        <w:rPr>
          <w:rFonts w:ascii="Times New Roman" w:hAnsi="Times New Roman" w:cs="宋体" w:hint="eastAsia"/>
          <w:sz w:val="24"/>
          <w:szCs w:val="24"/>
        </w:rPr>
        <w:t>是血液科常见的恶性肿瘤疾病之一，病因和发病机制复杂。</w:t>
      </w:r>
      <w:r>
        <w:rPr>
          <w:rFonts w:ascii="Times New Roman" w:hAnsi="Times New Roman" w:cs="Times New Roman"/>
          <w:sz w:val="24"/>
          <w:szCs w:val="24"/>
        </w:rPr>
        <w:t>2001</w:t>
      </w:r>
      <w:r w:rsidR="008A0A95">
        <w:rPr>
          <w:rFonts w:ascii="Times New Roman" w:hAnsi="Times New Roman" w:cs="宋体" w:hint="eastAsia"/>
          <w:sz w:val="24"/>
          <w:szCs w:val="24"/>
        </w:rPr>
        <w:t>年</w:t>
      </w:r>
      <w:r>
        <w:rPr>
          <w:rFonts w:ascii="Times New Roman" w:hAnsi="Times New Roman" w:cs="宋体" w:hint="eastAsia"/>
          <w:sz w:val="24"/>
          <w:szCs w:val="24"/>
        </w:rPr>
        <w:t>开始进行了</w:t>
      </w:r>
      <w:r>
        <w:rPr>
          <w:rFonts w:ascii="Times New Roman" w:hAnsi="Times New Roman" w:cs="Times New Roman"/>
          <w:sz w:val="24"/>
          <w:szCs w:val="24"/>
        </w:rPr>
        <w:t xml:space="preserve">MDS </w:t>
      </w:r>
      <w:r>
        <w:rPr>
          <w:rFonts w:ascii="Times New Roman" w:hAnsi="Times New Roman" w:cs="宋体" w:hint="eastAsia"/>
          <w:sz w:val="24"/>
          <w:szCs w:val="24"/>
        </w:rPr>
        <w:t>患者免疫抑制治疗前后基因表达差异的研究。参与完成了</w:t>
      </w:r>
      <w:r>
        <w:rPr>
          <w:rFonts w:ascii="Times New Roman" w:hAnsi="Times New Roman" w:cs="Times New Roman"/>
          <w:sz w:val="24"/>
          <w:szCs w:val="24"/>
        </w:rPr>
        <w:t>MDS “</w:t>
      </w:r>
      <w:r>
        <w:rPr>
          <w:rFonts w:ascii="Times New Roman" w:hAnsi="Times New Roman" w:cs="宋体" w:hint="eastAsia"/>
          <w:sz w:val="24"/>
          <w:szCs w:val="24"/>
        </w:rPr>
        <w:t>十一五</w:t>
      </w:r>
      <w:r>
        <w:rPr>
          <w:rFonts w:ascii="Times New Roman" w:hAnsi="Times New Roman" w:cs="Times New Roman"/>
          <w:sz w:val="24"/>
          <w:szCs w:val="24"/>
        </w:rPr>
        <w:t>”</w:t>
      </w:r>
      <w:r>
        <w:rPr>
          <w:rFonts w:ascii="Times New Roman" w:hAnsi="Times New Roman" w:cs="宋体" w:hint="eastAsia"/>
          <w:sz w:val="24"/>
          <w:szCs w:val="24"/>
        </w:rPr>
        <w:t>国家科技支撑计划和中华医学会分子生物学临床应用研究以及卫生部等重大专项研究，课题组</w:t>
      </w:r>
      <w:r w:rsidRPr="00EE6B40">
        <w:rPr>
          <w:rFonts w:ascii="Times New Roman" w:hAnsi="Times New Roman" w:cs="宋体" w:hint="eastAsia"/>
          <w:sz w:val="24"/>
          <w:szCs w:val="24"/>
        </w:rPr>
        <w:t>获得国家自然科学青年基金资助</w:t>
      </w:r>
      <w:r w:rsidR="008A0A95">
        <w:rPr>
          <w:rFonts w:ascii="Times New Roman" w:hAnsi="Times New Roman" w:cs="宋体" w:hint="eastAsia"/>
          <w:sz w:val="24"/>
          <w:szCs w:val="24"/>
        </w:rPr>
        <w:t>，目前正在</w:t>
      </w:r>
      <w:r>
        <w:rPr>
          <w:rFonts w:ascii="Times New Roman" w:hAnsi="Times New Roman" w:cs="Times New Roman"/>
          <w:sz w:val="24"/>
          <w:szCs w:val="24"/>
        </w:rPr>
        <w:t>MDS</w:t>
      </w:r>
      <w:r>
        <w:rPr>
          <w:rFonts w:ascii="Times New Roman" w:hAnsi="Times New Roman" w:cs="宋体" w:hint="eastAsia"/>
          <w:sz w:val="24"/>
          <w:szCs w:val="24"/>
        </w:rPr>
        <w:t>的表观遗传学发病机制</w:t>
      </w:r>
      <w:r w:rsidR="008A0A95">
        <w:rPr>
          <w:rFonts w:ascii="Times New Roman" w:hAnsi="Times New Roman" w:cs="宋体" w:hint="eastAsia"/>
          <w:sz w:val="24"/>
          <w:szCs w:val="24"/>
        </w:rPr>
        <w:t>以及免疫学异常</w:t>
      </w:r>
      <w:r>
        <w:rPr>
          <w:rFonts w:ascii="Times New Roman" w:hAnsi="Times New Roman" w:cs="宋体" w:hint="eastAsia"/>
          <w:sz w:val="24"/>
          <w:szCs w:val="24"/>
        </w:rPr>
        <w:t>等方面进行深入研究。</w:t>
      </w:r>
    </w:p>
    <w:p w:rsidR="00132FBC" w:rsidRDefault="00132FBC">
      <w:pPr>
        <w:spacing w:line="360" w:lineRule="auto"/>
        <w:rPr>
          <w:rFonts w:ascii="Times New Roman" w:hAnsi="Times New Roman" w:cs="Times New Roman"/>
          <w:b/>
          <w:bCs/>
          <w:sz w:val="24"/>
          <w:szCs w:val="24"/>
        </w:rPr>
      </w:pPr>
    </w:p>
    <w:p w:rsidR="00132FBC" w:rsidRDefault="00132FBC">
      <w:pPr>
        <w:spacing w:line="360" w:lineRule="auto"/>
        <w:rPr>
          <w:rFonts w:ascii="Times New Roman" w:hAnsi="Times New Roman" w:cs="Times New Roman"/>
          <w:sz w:val="24"/>
          <w:szCs w:val="24"/>
        </w:rPr>
      </w:pPr>
      <w:r>
        <w:rPr>
          <w:rFonts w:ascii="Times New Roman" w:hAnsi="Times New Roman" w:cs="宋体" w:hint="eastAsia"/>
          <w:b/>
          <w:bCs/>
          <w:sz w:val="24"/>
          <w:szCs w:val="24"/>
        </w:rPr>
        <w:t>近</w:t>
      </w:r>
      <w:r>
        <w:rPr>
          <w:rFonts w:ascii="Times New Roman" w:hAnsi="Times New Roman" w:cs="Times New Roman"/>
          <w:b/>
          <w:bCs/>
          <w:sz w:val="24"/>
          <w:szCs w:val="24"/>
        </w:rPr>
        <w:t>3</w:t>
      </w:r>
      <w:r>
        <w:rPr>
          <w:rFonts w:ascii="Times New Roman" w:hAnsi="Times New Roman" w:cs="宋体" w:hint="eastAsia"/>
          <w:b/>
          <w:bCs/>
          <w:sz w:val="24"/>
          <w:szCs w:val="24"/>
        </w:rPr>
        <w:t>年发表文章</w:t>
      </w:r>
      <w:r>
        <w:rPr>
          <w:rFonts w:ascii="Times New Roman" w:hAnsi="Times New Roman" w:cs="宋体" w:hint="eastAsia"/>
          <w:sz w:val="24"/>
          <w:szCs w:val="24"/>
        </w:rPr>
        <w:t>：</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 xml:space="preserve">1.Suxia Geng, Han Yao, Jianyu Weng, Jiaqi Tong, Xin Huang, Ping Wu, Chengxin Deng, Minming Li, Zesheng Lu, </w:t>
      </w:r>
      <w:r>
        <w:rPr>
          <w:rFonts w:ascii="Times New Roman" w:hAnsi="Times New Roman" w:cs="Times New Roman"/>
          <w:b/>
          <w:bCs/>
          <w:sz w:val="24"/>
          <w:szCs w:val="24"/>
        </w:rPr>
        <w:t>Xin Du</w:t>
      </w:r>
      <w:r>
        <w:rPr>
          <w:rFonts w:ascii="Times New Roman" w:hAnsi="Times New Roman" w:cs="Times New Roman"/>
          <w:sz w:val="24"/>
          <w:szCs w:val="24"/>
        </w:rPr>
        <w:t>. Effects of the combination of decitabine and homoharringtonine in SKM-1 and Kg-1a cells. Leukemia Reasearch. In Press Accepted Manuscript. 2016</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Pr>
          <w:rFonts w:ascii="Times New Roman" w:hAnsi="Times New Roman" w:cs="Times New Roman"/>
          <w:b/>
          <w:bCs/>
          <w:sz w:val="24"/>
          <w:szCs w:val="24"/>
        </w:rPr>
        <w:t>Du X</w:t>
      </w:r>
      <w:r>
        <w:rPr>
          <w:rFonts w:ascii="Times New Roman" w:hAnsi="Times New Roman" w:cs="Times New Roman"/>
          <w:sz w:val="24"/>
          <w:szCs w:val="24"/>
        </w:rPr>
        <w:t xml:space="preserve">, Jin J, Cai Z, Chen F, Zhou DB, Yu L, Ke X, Li X, Wu D, Meng F, DeMarco D, Zhang J, Mei J, Hou J. Long-term use of lenalidomide and low-dose dexamethasone in Chinese patients with relapsed/refractory multiple myeloma: MM-024 Extended Access Program. BMC Cancer. 2016 Jan 28;16(1):46.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Wu P, Geng S, Weng J, Deng C, Lu Z, Luo C, </w:t>
      </w:r>
      <w:r>
        <w:rPr>
          <w:rFonts w:ascii="Times New Roman" w:hAnsi="Times New Roman" w:cs="Times New Roman"/>
          <w:b/>
          <w:bCs/>
          <w:sz w:val="24"/>
          <w:szCs w:val="24"/>
        </w:rPr>
        <w:t>Du X</w:t>
      </w:r>
      <w:r>
        <w:rPr>
          <w:rFonts w:ascii="Times New Roman" w:hAnsi="Times New Roman" w:cs="Times New Roman"/>
          <w:sz w:val="24"/>
          <w:szCs w:val="24"/>
        </w:rPr>
        <w:t xml:space="preserve">. The hENT1 and DCK genes underlie the decitabine response in patients with myelodysplastic syndrome. Leuk Res. 2015 Feb;39(2):216-20.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Wu D, </w:t>
      </w:r>
      <w:r>
        <w:rPr>
          <w:rFonts w:ascii="Times New Roman" w:hAnsi="Times New Roman" w:cs="Times New Roman"/>
          <w:b/>
          <w:bCs/>
          <w:sz w:val="24"/>
          <w:szCs w:val="24"/>
        </w:rPr>
        <w:t>Du X</w:t>
      </w:r>
      <w:r>
        <w:rPr>
          <w:rFonts w:ascii="Times New Roman" w:hAnsi="Times New Roman" w:cs="Times New Roman"/>
          <w:sz w:val="24"/>
          <w:szCs w:val="24"/>
        </w:rPr>
        <w:t xml:space="preserve">, Jin J, Xiao Z, Shen Z, Shao Z, Li X, Huang X, Liu T, Yu L, Li J, Chen B, He G, Cai Z, Liang H, Li J, RuanC. Decitabine for Treatment of Myelodysplastic Syndromes in Chinese Patients: An Open-Label, Phase-3b Study. </w:t>
      </w:r>
      <w:r>
        <w:rPr>
          <w:rFonts w:ascii="Times New Roman" w:hAnsi="Times New Roman" w:cs="Times New Roman"/>
          <w:sz w:val="24"/>
          <w:szCs w:val="24"/>
        </w:rPr>
        <w:lastRenderedPageBreak/>
        <w:t xml:space="preserve">Adv Ther. 2015 Nov;32(11):1140-59.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Huang X, Geng S, Weng J, Lu Z, Zeng L, Li M, Deng C, Wu X, Li Y, </w:t>
      </w:r>
      <w:r>
        <w:rPr>
          <w:rFonts w:ascii="Times New Roman" w:hAnsi="Times New Roman" w:cs="Times New Roman"/>
          <w:b/>
          <w:bCs/>
          <w:sz w:val="24"/>
          <w:szCs w:val="24"/>
        </w:rPr>
        <w:t>Du X</w:t>
      </w:r>
      <w:r>
        <w:rPr>
          <w:rFonts w:ascii="Times New Roman" w:hAnsi="Times New Roman" w:cs="Times New Roman"/>
          <w:sz w:val="24"/>
          <w:szCs w:val="24"/>
        </w:rPr>
        <w:t xml:space="preserve">. Analysis of the expression of PHTF1 and related genes in acute lymphoblastic leukemia. Cancer Cell Int. 2015 Oct 5;15:93.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Geng S, Weng J, Chen S, Li Y, Wu P, Huang X, Lai P, </w:t>
      </w:r>
      <w:r>
        <w:rPr>
          <w:rFonts w:ascii="Times New Roman" w:hAnsi="Times New Roman" w:cs="Times New Roman"/>
          <w:b/>
          <w:bCs/>
          <w:sz w:val="24"/>
          <w:szCs w:val="24"/>
        </w:rPr>
        <w:t>Du X</w:t>
      </w:r>
      <w:r>
        <w:rPr>
          <w:rFonts w:ascii="Times New Roman" w:hAnsi="Times New Roman" w:cs="Times New Roman"/>
          <w:sz w:val="24"/>
          <w:szCs w:val="24"/>
        </w:rPr>
        <w:t xml:space="preserve">. Abnormalities in the T cell receptor Vδ repertoire and Foxp3 expression in refractory anemia with ringed sideroblasts. DNA Cell Biol. 2015 Sep;34(9):588-95.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Cui Y, Tong H, </w:t>
      </w:r>
      <w:r>
        <w:rPr>
          <w:rFonts w:ascii="Times New Roman" w:hAnsi="Times New Roman" w:cs="Times New Roman"/>
          <w:b/>
          <w:bCs/>
          <w:sz w:val="24"/>
          <w:szCs w:val="24"/>
        </w:rPr>
        <w:t>Du X</w:t>
      </w:r>
      <w:r>
        <w:rPr>
          <w:rFonts w:ascii="Times New Roman" w:hAnsi="Times New Roman" w:cs="Times New Roman"/>
          <w:sz w:val="24"/>
          <w:szCs w:val="24"/>
        </w:rPr>
        <w:t>, Li B, Gale RP, Qin T, Liu J, Xu Z, Zhang Y, Huang G, Jin J, Fang L, Zhang H, Pan L, Hu N, Qu S, Xiao Z Impact of TET2, SRSF2, ASXL1 and SETBP1 mutations on survival of patients with chronic myelomonocytic leukemia. Exp Hematol Oncol. 2015 May 20;4:14.</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Jin Y, Cao Q, Chen C, </w:t>
      </w:r>
      <w:r>
        <w:rPr>
          <w:rFonts w:ascii="Times New Roman" w:hAnsi="Times New Roman" w:cs="Times New Roman"/>
          <w:b/>
          <w:bCs/>
          <w:sz w:val="24"/>
          <w:szCs w:val="24"/>
        </w:rPr>
        <w:t>Du X</w:t>
      </w:r>
      <w:r>
        <w:rPr>
          <w:rFonts w:ascii="Times New Roman" w:hAnsi="Times New Roman" w:cs="Times New Roman"/>
          <w:sz w:val="24"/>
          <w:szCs w:val="24"/>
        </w:rPr>
        <w:t xml:space="preserve">, Jin B, Pan J. Tenovin-6-mediated inhibition of SIRT1/2 induces apoptosis in acute lymphoblastic leukemia (ALL) cells and eliminates ALL stem/progenitor cells. BMC Cancer. 2015 Apr 7;15:226.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Weng J, Lai P, Geng S, Luo C, Wu S, Ling W, Deng C, Huang X, Lu Z, </w:t>
      </w:r>
      <w:r>
        <w:rPr>
          <w:rFonts w:ascii="Times New Roman" w:hAnsi="Times New Roman" w:cs="Times New Roman"/>
          <w:b/>
          <w:bCs/>
          <w:sz w:val="24"/>
          <w:szCs w:val="24"/>
        </w:rPr>
        <w:t>Du X.</w:t>
      </w:r>
      <w:r>
        <w:rPr>
          <w:rFonts w:ascii="Times New Roman" w:hAnsi="Times New Roman" w:cs="Times New Roman"/>
          <w:sz w:val="24"/>
          <w:szCs w:val="24"/>
        </w:rPr>
        <w:t xml:space="preserve"> Role of Toll-like receptor 4 signaling in cutaneous chronic graft-versus-host disease. Clin Transplant. 2015 Jun;29(6):547-54.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 xml:space="preserve">Lai YY, Huang XJ, Li J, Zou P, Xu ZF, Sun H, Shao ZH, Zhou DB, Chen FP, Liu ZG, Zhu HL, Wu DP, Wang C, Zhang Y, Li Y, Hou M, </w:t>
      </w:r>
      <w:r>
        <w:rPr>
          <w:rFonts w:ascii="Times New Roman" w:hAnsi="Times New Roman" w:cs="Times New Roman"/>
          <w:b/>
          <w:bCs/>
          <w:sz w:val="24"/>
          <w:szCs w:val="24"/>
        </w:rPr>
        <w:t>Du X</w:t>
      </w:r>
      <w:r>
        <w:rPr>
          <w:rFonts w:ascii="Times New Roman" w:hAnsi="Times New Roman" w:cs="Times New Roman"/>
          <w:sz w:val="24"/>
          <w:szCs w:val="24"/>
        </w:rPr>
        <w:t xml:space="preserve">, Wang X, Li W, Lai YR, Zhou J, Zhou YH, Fang MY, Qiu L, Wang XM, Zhang GS, Jiang M, Liang YM, Zhang LS, Chen XQ, Bai H, Lin JY. Standardized fluorescence in situ hybridization testing based on an appropriate panel of probes more effectively identifies common cytogenetic abnormalities in myelodysplastic syndromes than conventional cytogenetic analysis: a multicenter prospective study of 2302 patients in China. Leuk Res. 2015 May;39(5):530-5.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 xml:space="preserve">Wang J, Shen ZX, Saglio G, Jin J, Huang H, Hu Y, </w:t>
      </w:r>
      <w:r>
        <w:rPr>
          <w:rFonts w:ascii="Times New Roman" w:hAnsi="Times New Roman" w:cs="Times New Roman"/>
          <w:b/>
          <w:bCs/>
          <w:sz w:val="24"/>
          <w:szCs w:val="24"/>
        </w:rPr>
        <w:t>Du X</w:t>
      </w:r>
      <w:r>
        <w:rPr>
          <w:rFonts w:ascii="Times New Roman" w:hAnsi="Times New Roman" w:cs="Times New Roman"/>
          <w:sz w:val="24"/>
          <w:szCs w:val="24"/>
        </w:rPr>
        <w:t xml:space="preserve">, Li J, Meng F, Zhu H, Hu J, Wang J, Hou M, Hertle S, Menssen HD, Ortmann CE, Tribouley C, Yuan Y, Baccarani M, Huang X. Phase 3 study of nilotinib vs imatinib in Chinese patients with newly diagnosed chronic myeloid leukemia in chronic phase: ENESTchina. Blood. 2015 Apr 30;125(18):2771-8.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12.</w:t>
      </w:r>
      <w:r>
        <w:rPr>
          <w:rFonts w:ascii="Times New Roman" w:hAnsi="Times New Roman" w:cs="Times New Roman"/>
          <w:sz w:val="24"/>
          <w:szCs w:val="24"/>
        </w:rPr>
        <w:tab/>
        <w:t xml:space="preserve">Li W, Jiang Z, Li T, Wei X, Zheng Y, Wu D, Yang L, Chen S, Xu B, Zhong M, Jiang J, Hu Y, Su H, Zhang M, Huang X, Geng S, Weng J, </w:t>
      </w:r>
      <w:r>
        <w:rPr>
          <w:rFonts w:ascii="Times New Roman" w:hAnsi="Times New Roman" w:cs="Times New Roman"/>
          <w:b/>
          <w:bCs/>
          <w:sz w:val="24"/>
          <w:szCs w:val="24"/>
        </w:rPr>
        <w:t>Du X</w:t>
      </w:r>
      <w:r>
        <w:rPr>
          <w:rFonts w:ascii="Times New Roman" w:hAnsi="Times New Roman" w:cs="Times New Roman"/>
          <w:sz w:val="24"/>
          <w:szCs w:val="24"/>
        </w:rPr>
        <w:t xml:space="preserve">, Liu P, Li Y, Liu H, Yao Y, Li P. Genome-wide analyses identify KLF4 as an important negative regulator in T-cell acute lymphoblastic leukemia through directly inhibiting T-cell associated genes. Mol Cancer. 2015 Feb 3;14:26.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 xml:space="preserve">Bu Q, Cui L, Li J, </w:t>
      </w:r>
      <w:r>
        <w:rPr>
          <w:rFonts w:ascii="Times New Roman" w:hAnsi="Times New Roman" w:cs="Times New Roman"/>
          <w:b/>
          <w:bCs/>
          <w:sz w:val="24"/>
          <w:szCs w:val="24"/>
        </w:rPr>
        <w:t>Du X</w:t>
      </w:r>
      <w:r>
        <w:rPr>
          <w:rFonts w:ascii="Times New Roman" w:hAnsi="Times New Roman" w:cs="Times New Roman"/>
          <w:sz w:val="24"/>
          <w:szCs w:val="24"/>
        </w:rPr>
        <w:t xml:space="preserve">, Zou W, Ding K, Pan J.SAHA and S116836, a novel tyrosine kinase inhibitor, synergistically induce apoptosis in imatinib-resistant chronic myelogenous leukemia cells. Cancer Biol Ther. 2014 Jul;15(7):951-62. </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 xml:space="preserve">Weng J, Lai P, Lv M, Lin S, Ling W, Geng S, Luo C, Liu X, </w:t>
      </w:r>
      <w:r>
        <w:rPr>
          <w:rFonts w:ascii="Times New Roman" w:hAnsi="Times New Roman" w:cs="Times New Roman"/>
          <w:b/>
          <w:bCs/>
          <w:sz w:val="24"/>
          <w:szCs w:val="24"/>
        </w:rPr>
        <w:t>Du X</w:t>
      </w:r>
      <w:r>
        <w:rPr>
          <w:rFonts w:ascii="Times New Roman" w:hAnsi="Times New Roman" w:cs="Times New Roman"/>
          <w:sz w:val="24"/>
          <w:szCs w:val="24"/>
        </w:rPr>
        <w:t>. Bortezomib modulates regulatory T cell subpopulations in the process of acute graft-versus-host disease. Clin Lab. 2013;59(1-2):51-8.</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宋体" w:hint="eastAsia"/>
          <w:b/>
          <w:bCs/>
          <w:sz w:val="24"/>
          <w:szCs w:val="24"/>
        </w:rPr>
        <w:t>杜欣</w:t>
      </w:r>
      <w:r>
        <w:rPr>
          <w:rFonts w:ascii="Times New Roman" w:hAnsi="Times New Roman" w:cs="Times New Roman"/>
          <w:sz w:val="24"/>
          <w:szCs w:val="24"/>
        </w:rPr>
        <w:t>.</w:t>
      </w:r>
      <w:r>
        <w:rPr>
          <w:rFonts w:ascii="Times New Roman" w:hAnsi="Times New Roman" w:cs="宋体" w:hint="eastAsia"/>
          <w:sz w:val="24"/>
          <w:szCs w:val="24"/>
        </w:rPr>
        <w:t>阿扎胞苷治疗骨髓增生异常综合征疗效评价（专题笔谈）</w:t>
      </w:r>
      <w:r>
        <w:rPr>
          <w:rFonts w:ascii="Times New Roman" w:hAnsi="Times New Roman" w:cs="Times New Roman"/>
          <w:sz w:val="24"/>
          <w:szCs w:val="24"/>
        </w:rPr>
        <w:t>.</w:t>
      </w:r>
    </w:p>
    <w:p w:rsidR="00132FBC" w:rsidRDefault="00132FBC">
      <w:pPr>
        <w:spacing w:line="360" w:lineRule="auto"/>
        <w:rPr>
          <w:rFonts w:ascii="Times New Roman" w:hAnsi="Times New Roman" w:cs="Times New Roman"/>
          <w:sz w:val="24"/>
          <w:szCs w:val="24"/>
        </w:rPr>
      </w:pPr>
      <w:r>
        <w:rPr>
          <w:rFonts w:ascii="Times New Roman" w:hAnsi="Times New Roman" w:cs="宋体" w:hint="eastAsia"/>
          <w:sz w:val="24"/>
          <w:szCs w:val="24"/>
        </w:rPr>
        <w:t>中国实用内科杂志</w:t>
      </w:r>
      <w:r>
        <w:rPr>
          <w:rFonts w:ascii="Times New Roman" w:hAnsi="Times New Roman" w:cs="Times New Roman"/>
          <w:sz w:val="24"/>
          <w:szCs w:val="24"/>
        </w:rPr>
        <w:t>,2015(02):123-125.</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shd w:val="clear" w:color="auto" w:fill="FFFFFF"/>
        </w:rPr>
        <w:t>16</w:t>
      </w:r>
      <w:r w:rsidRPr="00AD0E3B">
        <w:rPr>
          <w:rFonts w:ascii="Times New Roman" w:hAnsi="Times New Roman" w:cs="Times New Roman"/>
          <w:sz w:val="24"/>
          <w:szCs w:val="24"/>
          <w:shd w:val="clear" w:color="auto" w:fill="FFFFFF"/>
        </w:rPr>
        <w:t xml:space="preserve">. </w:t>
      </w:r>
      <w:r w:rsidRPr="00AD0E3B">
        <w:rPr>
          <w:rFonts w:ascii="Times New Roman" w:hAnsi="Times New Roman" w:cs="宋体" w:hint="eastAsia"/>
          <w:b/>
          <w:bCs/>
          <w:sz w:val="24"/>
          <w:szCs w:val="24"/>
          <w:shd w:val="clear" w:color="auto" w:fill="FFFFFF"/>
        </w:rPr>
        <w:t>杜欣</w:t>
      </w:r>
      <w:r w:rsidRPr="00AD0E3B">
        <w:rPr>
          <w:rFonts w:ascii="Times New Roman" w:hAnsi="Times New Roman" w:cs="Times New Roman"/>
          <w:b/>
          <w:bCs/>
          <w:sz w:val="24"/>
          <w:szCs w:val="24"/>
          <w:shd w:val="clear" w:color="auto" w:fill="FFFFFF"/>
        </w:rPr>
        <w:t>.</w:t>
      </w:r>
      <w:r w:rsidRPr="00AD0E3B">
        <w:rPr>
          <w:rFonts w:ascii="Times New Roman" w:hAnsi="Times New Roman" w:cs="Times New Roman"/>
          <w:sz w:val="24"/>
          <w:szCs w:val="24"/>
          <w:shd w:val="clear" w:color="auto" w:fill="FFFFFF"/>
        </w:rPr>
        <w:t xml:space="preserve"> </w:t>
      </w:r>
      <w:r w:rsidRPr="00AD0E3B">
        <w:rPr>
          <w:rFonts w:ascii="Times New Roman" w:hAnsi="Times New Roman" w:cs="宋体" w:hint="eastAsia"/>
          <w:sz w:val="24"/>
          <w:szCs w:val="24"/>
          <w:shd w:val="clear" w:color="auto" w:fill="FFFFFF"/>
        </w:rPr>
        <w:t>细胞遗传学和分子学监测在慢性髓性白血病治疗中的意义</w:t>
      </w:r>
      <w:r w:rsidRPr="00AD0E3B">
        <w:rPr>
          <w:rFonts w:ascii="Times New Roman" w:hAnsi="Times New Roman" w:cs="Times New Roman"/>
          <w:sz w:val="24"/>
          <w:szCs w:val="24"/>
          <w:shd w:val="clear" w:color="auto" w:fill="FFFFFF"/>
        </w:rPr>
        <w:t>.</w:t>
      </w:r>
      <w:r w:rsidRPr="00AD0E3B">
        <w:rPr>
          <w:rFonts w:ascii="Times New Roman" w:hAnsi="Times New Roman" w:cs="Times New Roman"/>
          <w:sz w:val="24"/>
          <w:szCs w:val="24"/>
        </w:rPr>
        <w:t xml:space="preserve"> </w:t>
      </w:r>
      <w:r w:rsidRPr="00AD0E3B">
        <w:rPr>
          <w:rFonts w:ascii="Times New Roman" w:hAnsi="Times New Roman" w:cs="宋体" w:hint="eastAsia"/>
          <w:sz w:val="24"/>
          <w:szCs w:val="24"/>
        </w:rPr>
        <w:t>（</w:t>
      </w:r>
      <w:r w:rsidRPr="00AD0E3B">
        <w:rPr>
          <w:rFonts w:ascii="Times New Roman" w:hAnsi="Times New Roman" w:cs="宋体" w:hint="eastAsia"/>
          <w:b/>
          <w:bCs/>
          <w:sz w:val="24"/>
          <w:szCs w:val="24"/>
        </w:rPr>
        <w:t>专题笔</w:t>
      </w:r>
      <w:r>
        <w:rPr>
          <w:rFonts w:ascii="Times New Roman" w:hAnsi="Times New Roman" w:cs="宋体" w:hint="eastAsia"/>
          <w:sz w:val="24"/>
          <w:szCs w:val="24"/>
        </w:rPr>
        <w:t>谈）</w:t>
      </w:r>
      <w:r>
        <w:rPr>
          <w:rFonts w:ascii="Times New Roman" w:hAnsi="Times New Roman" w:cs="宋体" w:hint="eastAsia"/>
          <w:color w:val="000000"/>
          <w:sz w:val="24"/>
          <w:szCs w:val="24"/>
          <w:shd w:val="clear" w:color="auto" w:fill="FFFFFF"/>
        </w:rPr>
        <w:t>中华血液学杂志</w:t>
      </w:r>
      <w:r>
        <w:rPr>
          <w:rFonts w:ascii="Times New Roman" w:hAnsi="Times New Roman" w:cs="Times New Roman"/>
          <w:color w:val="000000"/>
          <w:sz w:val="24"/>
          <w:szCs w:val="24"/>
          <w:shd w:val="clear" w:color="auto" w:fill="FFFFFF"/>
        </w:rPr>
        <w:t>.2014,35(2):101-102.</w:t>
      </w:r>
    </w:p>
    <w:p w:rsidR="00132FBC" w:rsidRDefault="00132FBC">
      <w:pPr>
        <w:spacing w:line="360" w:lineRule="auto"/>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17. </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去甲基化药物的耐药问题值得临床注意</w:t>
      </w:r>
      <w:r>
        <w:rPr>
          <w:rFonts w:ascii="Times New Roman" w:hAnsi="Times New Roman" w:cs="Times New Roman"/>
          <w:color w:val="000000"/>
          <w:sz w:val="24"/>
          <w:szCs w:val="24"/>
          <w:shd w:val="clear" w:color="auto" w:fill="FFFFFF"/>
        </w:rPr>
        <w:t>.</w:t>
      </w:r>
      <w:r>
        <w:rPr>
          <w:rFonts w:ascii="Times New Roman" w:hAnsi="Times New Roman" w:cs="Times New Roman"/>
          <w:sz w:val="24"/>
          <w:szCs w:val="24"/>
        </w:rPr>
        <w:t xml:space="preserve"> </w:t>
      </w:r>
      <w:r>
        <w:rPr>
          <w:rFonts w:ascii="Times New Roman" w:hAnsi="Times New Roman" w:cs="宋体" w:hint="eastAsia"/>
          <w:sz w:val="24"/>
          <w:szCs w:val="24"/>
        </w:rPr>
        <w:t>（专题笔谈）</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宋体" w:hint="eastAsia"/>
          <w:color w:val="000000"/>
          <w:sz w:val="24"/>
          <w:szCs w:val="24"/>
          <w:shd w:val="clear" w:color="auto" w:fill="FFFFFF"/>
        </w:rPr>
        <w:t>临床血液学杂志</w:t>
      </w:r>
      <w:r>
        <w:rPr>
          <w:rFonts w:ascii="Times New Roman" w:hAnsi="Times New Roman" w:cs="Times New Roman"/>
          <w:color w:val="000000"/>
          <w:sz w:val="24"/>
          <w:szCs w:val="24"/>
          <w:shd w:val="clear" w:color="auto" w:fill="FFFFFF"/>
        </w:rPr>
        <w:t>.2014,27(1)</w:t>
      </w:r>
      <w:r>
        <w:rPr>
          <w:rFonts w:ascii="Times New Roman" w:hAnsi="Times New Roman" w:cs="宋体" w:hint="eastAsia"/>
          <w:color w:val="000000"/>
          <w:sz w:val="24"/>
          <w:szCs w:val="24"/>
          <w:shd w:val="clear" w:color="auto" w:fill="FFFFFF"/>
        </w:rPr>
        <w:t>：</w:t>
      </w:r>
      <w:r>
        <w:rPr>
          <w:rFonts w:ascii="Times New Roman" w:hAnsi="Times New Roman" w:cs="Times New Roman"/>
          <w:color w:val="000000"/>
          <w:sz w:val="24"/>
          <w:szCs w:val="24"/>
          <w:shd w:val="clear" w:color="auto" w:fill="FFFFFF"/>
        </w:rPr>
        <w:t>5-7.</w:t>
      </w:r>
    </w:p>
    <w:p w:rsidR="00132FBC" w:rsidRDefault="00132FBC">
      <w:pPr>
        <w:spacing w:line="360" w:lineRule="auto"/>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18 </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流式细胞仪免疫分型在骨髓增生异常综合征诊断和预后评价中的应用</w:t>
      </w:r>
      <w:r>
        <w:rPr>
          <w:rFonts w:ascii="Times New Roman" w:hAnsi="Times New Roman" w:cs="宋体" w:hint="eastAsia"/>
          <w:sz w:val="24"/>
          <w:szCs w:val="24"/>
        </w:rPr>
        <w:t>（专题笔谈）</w:t>
      </w:r>
      <w:r>
        <w:rPr>
          <w:rFonts w:ascii="Times New Roman" w:hAnsi="Times New Roman" w:cs="宋体" w:hint="eastAsia"/>
          <w:color w:val="000000"/>
          <w:sz w:val="24"/>
          <w:szCs w:val="24"/>
          <w:shd w:val="clear" w:color="auto" w:fill="FFFFFF"/>
        </w:rPr>
        <w:t>诊断学理论与实践</w:t>
      </w:r>
      <w:r>
        <w:rPr>
          <w:rFonts w:ascii="Times New Roman" w:hAnsi="Times New Roman" w:cs="Times New Roman"/>
          <w:color w:val="000000"/>
          <w:sz w:val="24"/>
          <w:szCs w:val="24"/>
          <w:shd w:val="clear" w:color="auto" w:fill="FFFFFF"/>
        </w:rPr>
        <w:t>, 2013(1):16-19.</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 xml:space="preserve">19 </w:t>
      </w:r>
      <w:r>
        <w:rPr>
          <w:rFonts w:ascii="Times New Roman" w:hAnsi="Times New Roman" w:cs="宋体" w:hint="eastAsia"/>
          <w:sz w:val="24"/>
          <w:szCs w:val="24"/>
        </w:rPr>
        <w:t>邓程新</w:t>
      </w:r>
      <w:r>
        <w:rPr>
          <w:rFonts w:ascii="Times New Roman" w:hAnsi="Times New Roman" w:cs="Times New Roman"/>
          <w:sz w:val="24"/>
          <w:szCs w:val="24"/>
        </w:rPr>
        <w:t>,</w:t>
      </w:r>
      <w:r>
        <w:rPr>
          <w:rFonts w:ascii="Times New Roman" w:hAnsi="Times New Roman" w:cs="宋体" w:hint="eastAsia"/>
          <w:sz w:val="24"/>
          <w:szCs w:val="24"/>
        </w:rPr>
        <w:t>吴萍</w:t>
      </w:r>
      <w:r>
        <w:rPr>
          <w:rFonts w:ascii="Times New Roman" w:hAnsi="Times New Roman" w:cs="Times New Roman"/>
          <w:sz w:val="24"/>
          <w:szCs w:val="24"/>
        </w:rPr>
        <w:t>,</w:t>
      </w:r>
      <w:r>
        <w:rPr>
          <w:rFonts w:ascii="Times New Roman" w:hAnsi="Times New Roman" w:cs="宋体" w:hint="eastAsia"/>
          <w:sz w:val="24"/>
          <w:szCs w:val="24"/>
        </w:rPr>
        <w:t>翁建宇</w:t>
      </w:r>
      <w:r>
        <w:rPr>
          <w:rFonts w:ascii="Times New Roman" w:hAnsi="Times New Roman" w:cs="Times New Roman"/>
          <w:sz w:val="24"/>
          <w:szCs w:val="24"/>
        </w:rPr>
        <w:t>,</w:t>
      </w:r>
      <w:r>
        <w:rPr>
          <w:rFonts w:ascii="Times New Roman" w:hAnsi="Times New Roman" w:cs="宋体" w:hint="eastAsia"/>
          <w:sz w:val="24"/>
          <w:szCs w:val="24"/>
        </w:rPr>
        <w:t>王玉春</w:t>
      </w:r>
      <w:r>
        <w:rPr>
          <w:rFonts w:ascii="Times New Roman" w:hAnsi="Times New Roman" w:cs="Times New Roman"/>
          <w:sz w:val="24"/>
          <w:szCs w:val="24"/>
        </w:rPr>
        <w:t>,</w:t>
      </w:r>
      <w:r>
        <w:rPr>
          <w:rFonts w:ascii="Times New Roman" w:hAnsi="Times New Roman" w:cs="宋体" w:hint="eastAsia"/>
          <w:sz w:val="24"/>
          <w:szCs w:val="24"/>
        </w:rPr>
        <w:t>耿素霞</w:t>
      </w:r>
      <w:r>
        <w:rPr>
          <w:rFonts w:ascii="Times New Roman" w:hAnsi="Times New Roman" w:cs="Times New Roman"/>
          <w:sz w:val="24"/>
          <w:szCs w:val="24"/>
        </w:rPr>
        <w:t>,</w:t>
      </w:r>
      <w:r>
        <w:rPr>
          <w:rFonts w:ascii="Times New Roman" w:hAnsi="Times New Roman" w:cs="宋体" w:hint="eastAsia"/>
          <w:sz w:val="24"/>
          <w:szCs w:val="24"/>
        </w:rPr>
        <w:t>陆泽生</w:t>
      </w:r>
      <w:r>
        <w:rPr>
          <w:rFonts w:ascii="Times New Roman" w:hAnsi="Times New Roman" w:cs="Times New Roman"/>
          <w:sz w:val="24"/>
          <w:szCs w:val="24"/>
        </w:rPr>
        <w:t>,</w:t>
      </w:r>
      <w:r>
        <w:rPr>
          <w:rFonts w:ascii="Times New Roman" w:hAnsi="Times New Roman" w:cs="宋体" w:hint="eastAsia"/>
          <w:sz w:val="24"/>
          <w:szCs w:val="24"/>
        </w:rPr>
        <w:t>廖鹏军</w:t>
      </w:r>
      <w:r>
        <w:rPr>
          <w:rFonts w:ascii="Times New Roman" w:hAnsi="Times New Roman" w:cs="Times New Roman"/>
          <w:sz w:val="24"/>
          <w:szCs w:val="24"/>
        </w:rPr>
        <w:t>,</w:t>
      </w:r>
      <w:r>
        <w:rPr>
          <w:rFonts w:ascii="Times New Roman" w:hAnsi="Times New Roman" w:cs="宋体" w:hint="eastAsia"/>
          <w:sz w:val="24"/>
          <w:szCs w:val="24"/>
        </w:rPr>
        <w:t>邹小立</w:t>
      </w:r>
      <w:r>
        <w:rPr>
          <w:rFonts w:ascii="Times New Roman" w:hAnsi="Times New Roman" w:cs="Times New Roman"/>
          <w:sz w:val="24"/>
          <w:szCs w:val="24"/>
        </w:rPr>
        <w:t>,</w:t>
      </w:r>
      <w:r>
        <w:rPr>
          <w:rFonts w:ascii="Times New Roman" w:hAnsi="Times New Roman" w:cs="宋体" w:hint="eastAsia"/>
          <w:b/>
          <w:bCs/>
          <w:sz w:val="24"/>
          <w:szCs w:val="24"/>
        </w:rPr>
        <w:t>杜欣</w:t>
      </w:r>
      <w:r>
        <w:rPr>
          <w:rFonts w:ascii="Times New Roman" w:hAnsi="Times New Roman" w:cs="Times New Roman"/>
          <w:sz w:val="24"/>
          <w:szCs w:val="24"/>
        </w:rPr>
        <w:t>.</w:t>
      </w:r>
      <w:r>
        <w:rPr>
          <w:rFonts w:ascii="Times New Roman" w:hAnsi="Times New Roman" w:cs="宋体" w:hint="eastAsia"/>
          <w:sz w:val="24"/>
          <w:szCs w:val="24"/>
        </w:rPr>
        <w:t>地西他滨治疗骨髓增生异常综合征的临床疗效及</w:t>
      </w:r>
      <w:r>
        <w:rPr>
          <w:rFonts w:ascii="Times New Roman" w:hAnsi="Times New Roman" w:cs="Times New Roman"/>
          <w:sz w:val="24"/>
          <w:szCs w:val="24"/>
        </w:rPr>
        <w:t>P15</w:t>
      </w:r>
      <w:r>
        <w:rPr>
          <w:rFonts w:ascii="Times New Roman" w:hAnsi="Times New Roman" w:cs="宋体" w:hint="eastAsia"/>
          <w:sz w:val="24"/>
          <w:szCs w:val="24"/>
        </w:rPr>
        <w:t>甲基化变化研究</w:t>
      </w:r>
      <w:r>
        <w:rPr>
          <w:rFonts w:ascii="Times New Roman" w:hAnsi="Times New Roman" w:cs="Times New Roman"/>
          <w:sz w:val="24"/>
          <w:szCs w:val="24"/>
        </w:rPr>
        <w:t xml:space="preserve">[J]. </w:t>
      </w:r>
      <w:r>
        <w:rPr>
          <w:rFonts w:ascii="Times New Roman" w:hAnsi="Times New Roman" w:cs="宋体" w:hint="eastAsia"/>
          <w:sz w:val="24"/>
          <w:szCs w:val="24"/>
        </w:rPr>
        <w:t>中国实用内科杂志</w:t>
      </w:r>
      <w:r>
        <w:rPr>
          <w:rFonts w:ascii="Times New Roman" w:hAnsi="Times New Roman" w:cs="Times New Roman"/>
          <w:sz w:val="24"/>
          <w:szCs w:val="24"/>
        </w:rPr>
        <w:t>, 2015(6):531-533.</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宋体" w:hint="eastAsia"/>
          <w:sz w:val="24"/>
          <w:szCs w:val="24"/>
        </w:rPr>
        <w:t>．</w:t>
      </w:r>
      <w:r>
        <w:rPr>
          <w:rFonts w:ascii="Times New Roman" w:hAnsi="Times New Roman" w:cs="宋体" w:hint="eastAsia"/>
          <w:b/>
          <w:bCs/>
          <w:sz w:val="24"/>
          <w:szCs w:val="24"/>
        </w:rPr>
        <w:t>杜欣</w:t>
      </w:r>
      <w:r>
        <w:rPr>
          <w:rFonts w:ascii="Times New Roman" w:hAnsi="Times New Roman" w:cs="Times New Roman"/>
          <w:sz w:val="24"/>
          <w:szCs w:val="24"/>
        </w:rPr>
        <w:t>. 2014</w:t>
      </w:r>
      <w:r>
        <w:rPr>
          <w:rFonts w:ascii="Times New Roman" w:hAnsi="Times New Roman" w:cs="宋体" w:hint="eastAsia"/>
          <w:sz w:val="24"/>
          <w:szCs w:val="24"/>
        </w:rPr>
        <w:t>年血液肿瘤免疫治疗热点追踪</w:t>
      </w:r>
      <w:r>
        <w:rPr>
          <w:rFonts w:ascii="Times New Roman" w:hAnsi="Times New Roman" w:cs="Times New Roman"/>
          <w:sz w:val="24"/>
          <w:szCs w:val="24"/>
        </w:rPr>
        <w:t xml:space="preserve">[J]. </w:t>
      </w:r>
      <w:r>
        <w:rPr>
          <w:rFonts w:ascii="Times New Roman" w:hAnsi="Times New Roman" w:cs="宋体" w:hint="eastAsia"/>
          <w:sz w:val="24"/>
          <w:szCs w:val="24"/>
        </w:rPr>
        <w:t>循证医学</w:t>
      </w:r>
      <w:r>
        <w:rPr>
          <w:rFonts w:ascii="Times New Roman" w:hAnsi="Times New Roman" w:cs="Times New Roman"/>
          <w:sz w:val="24"/>
          <w:szCs w:val="24"/>
        </w:rPr>
        <w:t>, 2015, 15(1):11-13.</w:t>
      </w:r>
    </w:p>
    <w:p w:rsidR="00132FBC" w:rsidRDefault="00132FBC">
      <w:pPr>
        <w:spacing w:line="360" w:lineRule="auto"/>
        <w:rPr>
          <w:rFonts w:ascii="Times New Roman" w:hAnsi="Times New Roman" w:cs="Times New Roman"/>
          <w:sz w:val="24"/>
          <w:szCs w:val="24"/>
        </w:rPr>
      </w:pPr>
      <w:r>
        <w:rPr>
          <w:rFonts w:ascii="Times New Roman" w:hAnsi="Times New Roman" w:cs="Times New Roman"/>
          <w:sz w:val="24"/>
          <w:szCs w:val="24"/>
        </w:rPr>
        <w:t xml:space="preserve">21. </w:t>
      </w:r>
      <w:r>
        <w:rPr>
          <w:rFonts w:ascii="Times New Roman" w:hAnsi="Times New Roman" w:cs="宋体" w:hint="eastAsia"/>
          <w:sz w:val="24"/>
          <w:szCs w:val="24"/>
        </w:rPr>
        <w:t>童嘉琦</w:t>
      </w:r>
      <w:r>
        <w:rPr>
          <w:rFonts w:ascii="Times New Roman" w:hAnsi="Times New Roman" w:cs="Times New Roman"/>
          <w:sz w:val="24"/>
          <w:szCs w:val="24"/>
        </w:rPr>
        <w:t>,</w:t>
      </w:r>
      <w:r>
        <w:rPr>
          <w:rFonts w:ascii="Times New Roman" w:hAnsi="Times New Roman" w:cs="宋体" w:hint="eastAsia"/>
          <w:sz w:val="24"/>
          <w:szCs w:val="24"/>
        </w:rPr>
        <w:t>吴萍</w:t>
      </w:r>
      <w:r>
        <w:rPr>
          <w:rFonts w:ascii="Times New Roman" w:hAnsi="Times New Roman" w:cs="Times New Roman"/>
          <w:sz w:val="24"/>
          <w:szCs w:val="24"/>
        </w:rPr>
        <w:t>,</w:t>
      </w:r>
      <w:r>
        <w:rPr>
          <w:rFonts w:ascii="Times New Roman" w:hAnsi="Times New Roman" w:cs="宋体" w:hint="eastAsia"/>
          <w:sz w:val="24"/>
          <w:szCs w:val="24"/>
        </w:rPr>
        <w:t>黄欣</w:t>
      </w:r>
      <w:r>
        <w:rPr>
          <w:rFonts w:ascii="Times New Roman" w:hAnsi="Times New Roman" w:cs="Times New Roman"/>
          <w:sz w:val="24"/>
          <w:szCs w:val="24"/>
        </w:rPr>
        <w:t>,</w:t>
      </w:r>
      <w:r>
        <w:rPr>
          <w:rFonts w:ascii="Times New Roman" w:hAnsi="Times New Roman" w:cs="宋体" w:hint="eastAsia"/>
          <w:sz w:val="24"/>
          <w:szCs w:val="24"/>
        </w:rPr>
        <w:t>赖沛龙</w:t>
      </w:r>
      <w:r>
        <w:rPr>
          <w:rFonts w:ascii="Times New Roman" w:hAnsi="Times New Roman" w:cs="Times New Roman"/>
          <w:sz w:val="24"/>
          <w:szCs w:val="24"/>
        </w:rPr>
        <w:t>,</w:t>
      </w:r>
      <w:r>
        <w:rPr>
          <w:rFonts w:ascii="Times New Roman" w:hAnsi="Times New Roman" w:cs="宋体" w:hint="eastAsia"/>
          <w:sz w:val="24"/>
          <w:szCs w:val="24"/>
        </w:rPr>
        <w:t>耿素霞</w:t>
      </w:r>
      <w:r>
        <w:rPr>
          <w:rFonts w:ascii="Times New Roman" w:hAnsi="Times New Roman" w:cs="Times New Roman"/>
          <w:sz w:val="24"/>
          <w:szCs w:val="24"/>
        </w:rPr>
        <w:t>,</w:t>
      </w:r>
      <w:r>
        <w:rPr>
          <w:rFonts w:ascii="Times New Roman" w:hAnsi="Times New Roman" w:cs="宋体" w:hint="eastAsia"/>
          <w:sz w:val="24"/>
          <w:szCs w:val="24"/>
        </w:rPr>
        <w:t>翁建宇</w:t>
      </w:r>
      <w:r>
        <w:rPr>
          <w:rFonts w:ascii="Times New Roman" w:hAnsi="Times New Roman" w:cs="Times New Roman"/>
          <w:sz w:val="24"/>
          <w:szCs w:val="24"/>
        </w:rPr>
        <w:t>,</w:t>
      </w:r>
      <w:r>
        <w:rPr>
          <w:rFonts w:ascii="Times New Roman" w:hAnsi="Times New Roman" w:cs="宋体" w:hint="eastAsia"/>
          <w:b/>
          <w:bCs/>
          <w:sz w:val="24"/>
          <w:szCs w:val="24"/>
        </w:rPr>
        <w:t>杜欣</w:t>
      </w:r>
      <w:r>
        <w:rPr>
          <w:rFonts w:ascii="Times New Roman" w:hAnsi="Times New Roman" w:cs="Times New Roman"/>
          <w:sz w:val="24"/>
          <w:szCs w:val="24"/>
        </w:rPr>
        <w:t xml:space="preserve">. </w:t>
      </w:r>
      <w:r>
        <w:rPr>
          <w:rFonts w:ascii="Times New Roman" w:hAnsi="Times New Roman" w:cs="宋体" w:hint="eastAsia"/>
          <w:sz w:val="24"/>
          <w:szCs w:val="24"/>
        </w:rPr>
        <w:t>间充质干细胞诱导的</w:t>
      </w:r>
      <w:r>
        <w:rPr>
          <w:rFonts w:ascii="Times New Roman" w:hAnsi="Times New Roman" w:cs="Times New Roman"/>
          <w:sz w:val="24"/>
          <w:szCs w:val="24"/>
        </w:rPr>
        <w:t>CD8α~+ Jagged2~(high) CD11b~(high)</w:t>
      </w:r>
      <w:r>
        <w:rPr>
          <w:rFonts w:ascii="Times New Roman" w:hAnsi="Times New Roman" w:cs="宋体" w:hint="eastAsia"/>
          <w:sz w:val="24"/>
          <w:szCs w:val="24"/>
        </w:rPr>
        <w:t>调节性树突状细胞防治小鼠</w:t>
      </w:r>
      <w:r>
        <w:rPr>
          <w:rFonts w:ascii="Times New Roman" w:hAnsi="Times New Roman" w:cs="Times New Roman"/>
          <w:sz w:val="24"/>
          <w:szCs w:val="24"/>
        </w:rPr>
        <w:t xml:space="preserve">aGVHD[J]. </w:t>
      </w:r>
      <w:r>
        <w:rPr>
          <w:rFonts w:ascii="Times New Roman" w:hAnsi="Times New Roman" w:cs="宋体" w:hint="eastAsia"/>
          <w:sz w:val="24"/>
          <w:szCs w:val="24"/>
        </w:rPr>
        <w:t>中国病理生理杂志</w:t>
      </w:r>
      <w:r>
        <w:rPr>
          <w:rFonts w:ascii="Times New Roman" w:hAnsi="Times New Roman" w:cs="Times New Roman"/>
          <w:sz w:val="24"/>
          <w:szCs w:val="24"/>
        </w:rPr>
        <w:t>, 2015(5):882-887.</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22. </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吴萍</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凌伟</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去甲基化药物对老年急性髓系白血病患者的疗效及预后分析</w:t>
      </w:r>
      <w:r>
        <w:rPr>
          <w:rFonts w:ascii="Times New Roman" w:hAnsi="Times New Roman" w:cs="Times New Roman"/>
          <w:color w:val="000000"/>
          <w:sz w:val="24"/>
          <w:szCs w:val="24"/>
          <w:shd w:val="clear" w:color="auto" w:fill="FFFFFF"/>
        </w:rPr>
        <w:t xml:space="preserve">[J]. </w:t>
      </w:r>
      <w:r>
        <w:rPr>
          <w:rFonts w:ascii="Times New Roman" w:hAnsi="Times New Roman" w:cs="宋体" w:hint="eastAsia"/>
          <w:color w:val="000000"/>
          <w:sz w:val="24"/>
          <w:szCs w:val="24"/>
          <w:shd w:val="clear" w:color="auto" w:fill="FFFFFF"/>
        </w:rPr>
        <w:t>循证医学</w:t>
      </w:r>
      <w:r>
        <w:rPr>
          <w:rFonts w:ascii="Times New Roman" w:hAnsi="Times New Roman" w:cs="Times New Roman"/>
          <w:color w:val="000000"/>
          <w:sz w:val="24"/>
          <w:szCs w:val="24"/>
          <w:shd w:val="clear" w:color="auto" w:fill="FFFFFF"/>
        </w:rPr>
        <w:t>, 2015(2):71-75.</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23. </w:t>
      </w:r>
      <w:r>
        <w:rPr>
          <w:rFonts w:ascii="Times New Roman" w:hAnsi="Times New Roman" w:cs="宋体" w:hint="eastAsia"/>
          <w:color w:val="000000"/>
          <w:sz w:val="24"/>
          <w:szCs w:val="24"/>
          <w:shd w:val="clear" w:color="auto" w:fill="FFFFFF"/>
        </w:rPr>
        <w:t>黄欣</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翁建宇</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吴萍</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童嘉琦</w:t>
      </w:r>
      <w:r>
        <w:rPr>
          <w:rFonts w:ascii="Times New Roman" w:hAnsi="Times New Roman" w:cs="Times New Roman"/>
          <w:color w:val="000000"/>
          <w:sz w:val="24"/>
          <w:szCs w:val="24"/>
          <w:shd w:val="clear" w:color="auto" w:fill="FFFFFF"/>
        </w:rPr>
        <w:t>,</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 miHA</w:t>
      </w:r>
      <w:r>
        <w:rPr>
          <w:rFonts w:ascii="Times New Roman" w:hAnsi="Times New Roman" w:cs="宋体" w:hint="eastAsia"/>
          <w:color w:val="000000"/>
          <w:sz w:val="24"/>
          <w:szCs w:val="24"/>
          <w:shd w:val="clear" w:color="auto" w:fill="FFFFFF"/>
        </w:rPr>
        <w:t>不合异基因骨髓移植后慢性移植物抗</w:t>
      </w:r>
      <w:r>
        <w:rPr>
          <w:rFonts w:ascii="Times New Roman" w:hAnsi="Times New Roman" w:cs="宋体" w:hint="eastAsia"/>
          <w:color w:val="000000"/>
          <w:sz w:val="24"/>
          <w:szCs w:val="24"/>
          <w:shd w:val="clear" w:color="auto" w:fill="FFFFFF"/>
        </w:rPr>
        <w:lastRenderedPageBreak/>
        <w:t>宿主病小鼠模型的建立</w:t>
      </w:r>
      <w:r>
        <w:rPr>
          <w:rFonts w:ascii="Times New Roman" w:hAnsi="Times New Roman" w:cs="Times New Roman"/>
          <w:color w:val="000000"/>
          <w:sz w:val="24"/>
          <w:szCs w:val="24"/>
          <w:shd w:val="clear" w:color="auto" w:fill="FFFFFF"/>
        </w:rPr>
        <w:t xml:space="preserve">[J]. </w:t>
      </w:r>
      <w:r>
        <w:rPr>
          <w:rFonts w:ascii="Times New Roman" w:hAnsi="Times New Roman" w:cs="宋体" w:hint="eastAsia"/>
          <w:color w:val="000000"/>
          <w:sz w:val="24"/>
          <w:szCs w:val="24"/>
          <w:shd w:val="clear" w:color="auto" w:fill="FFFFFF"/>
        </w:rPr>
        <w:t>国际输血及血液学杂志</w:t>
      </w:r>
      <w:r>
        <w:rPr>
          <w:rFonts w:ascii="Times New Roman" w:hAnsi="Times New Roman" w:cs="Times New Roman"/>
          <w:color w:val="000000"/>
          <w:sz w:val="24"/>
          <w:szCs w:val="24"/>
          <w:shd w:val="clear" w:color="auto" w:fill="FFFFFF"/>
        </w:rPr>
        <w:t>, 2014, 37(2):97-101.</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24. </w:t>
      </w:r>
      <w:r>
        <w:rPr>
          <w:rFonts w:ascii="Times New Roman" w:hAnsi="Times New Roman" w:cs="宋体" w:hint="eastAsia"/>
          <w:color w:val="000000"/>
          <w:sz w:val="24"/>
          <w:szCs w:val="24"/>
          <w:shd w:val="clear" w:color="auto" w:fill="FFFFFF"/>
        </w:rPr>
        <w:t>翁建宇</w:t>
      </w:r>
      <w:r>
        <w:rPr>
          <w:rFonts w:ascii="Times New Roman" w:hAnsi="Times New Roman" w:cs="Times New Roman"/>
          <w:color w:val="000000"/>
          <w:sz w:val="24"/>
          <w:szCs w:val="24"/>
          <w:shd w:val="clear" w:color="auto" w:fill="FFFFFF"/>
        </w:rPr>
        <w:t>,</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陆泽生</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吴穗晶</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罗成伟</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凌伟</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赖沛龙</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吴萍</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黄励思</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邓程新</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郭荣</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邹小立</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林伟</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黄梓伦</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慢性移植物抗宿主病患者临床表现及相关危险因素分析</w:t>
      </w:r>
      <w:r>
        <w:rPr>
          <w:rFonts w:ascii="Times New Roman" w:hAnsi="Times New Roman" w:cs="Times New Roman"/>
          <w:color w:val="000000"/>
          <w:sz w:val="24"/>
          <w:szCs w:val="24"/>
          <w:shd w:val="clear" w:color="auto" w:fill="FFFFFF"/>
        </w:rPr>
        <w:t xml:space="preserve">[J]. </w:t>
      </w:r>
      <w:r>
        <w:rPr>
          <w:rFonts w:ascii="Times New Roman" w:hAnsi="Times New Roman" w:cs="宋体" w:hint="eastAsia"/>
          <w:color w:val="000000"/>
          <w:sz w:val="24"/>
          <w:szCs w:val="24"/>
          <w:shd w:val="clear" w:color="auto" w:fill="FFFFFF"/>
        </w:rPr>
        <w:t>中华血液学杂志</w:t>
      </w:r>
      <w:r>
        <w:rPr>
          <w:rFonts w:ascii="Times New Roman" w:hAnsi="Times New Roman" w:cs="Times New Roman"/>
          <w:color w:val="000000"/>
          <w:sz w:val="24"/>
          <w:szCs w:val="24"/>
          <w:shd w:val="clear" w:color="auto" w:fill="FFFFFF"/>
        </w:rPr>
        <w:t>, 2013, 34(2):168-170.</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25. </w:t>
      </w:r>
      <w:r>
        <w:rPr>
          <w:rFonts w:ascii="Times New Roman" w:hAnsi="Times New Roman" w:cs="宋体" w:hint="eastAsia"/>
          <w:color w:val="000000"/>
          <w:sz w:val="24"/>
          <w:szCs w:val="24"/>
          <w:shd w:val="clear" w:color="auto" w:fill="FFFFFF"/>
        </w:rPr>
        <w:t>吴萍</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翁建宇</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慢性粒</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核单细胞白血病合并其他肿瘤</w:t>
      </w:r>
      <w:r>
        <w:rPr>
          <w:rFonts w:ascii="Times New Roman" w:hAnsi="Times New Roman" w:cs="Times New Roman"/>
          <w:color w:val="000000"/>
          <w:sz w:val="24"/>
          <w:szCs w:val="24"/>
          <w:shd w:val="clear" w:color="auto" w:fill="FFFFFF"/>
        </w:rPr>
        <w:t>6</w:t>
      </w:r>
      <w:r>
        <w:rPr>
          <w:rFonts w:ascii="Times New Roman" w:hAnsi="Times New Roman" w:cs="宋体" w:hint="eastAsia"/>
          <w:color w:val="000000"/>
          <w:sz w:val="24"/>
          <w:szCs w:val="24"/>
          <w:shd w:val="clear" w:color="auto" w:fill="FFFFFF"/>
        </w:rPr>
        <w:t>例</w:t>
      </w:r>
      <w:r>
        <w:rPr>
          <w:rFonts w:ascii="Times New Roman" w:hAnsi="Times New Roman" w:cs="Times New Roman"/>
          <w:color w:val="000000"/>
          <w:sz w:val="24"/>
          <w:szCs w:val="24"/>
          <w:shd w:val="clear" w:color="auto" w:fill="FFFFFF"/>
        </w:rPr>
        <w:t xml:space="preserve">[J]. </w:t>
      </w:r>
      <w:r>
        <w:rPr>
          <w:rFonts w:ascii="Times New Roman" w:hAnsi="Times New Roman" w:cs="宋体" w:hint="eastAsia"/>
          <w:color w:val="000000"/>
          <w:sz w:val="24"/>
          <w:szCs w:val="24"/>
          <w:shd w:val="clear" w:color="auto" w:fill="FFFFFF"/>
        </w:rPr>
        <w:t>临床内科杂志</w:t>
      </w:r>
      <w:r>
        <w:rPr>
          <w:rFonts w:ascii="Times New Roman" w:hAnsi="Times New Roman" w:cs="Times New Roman"/>
          <w:color w:val="000000"/>
          <w:sz w:val="24"/>
          <w:szCs w:val="24"/>
          <w:shd w:val="clear" w:color="auto" w:fill="FFFFFF"/>
        </w:rPr>
        <w:t>, 2013, 30(5):340-341.</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26. </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老年急性髓性白血病诱导治疗随机对照研究的网络荟萃分析</w:t>
      </w:r>
      <w:r>
        <w:rPr>
          <w:rFonts w:ascii="Times New Roman" w:hAnsi="Times New Roman" w:cs="Times New Roman"/>
          <w:color w:val="000000"/>
          <w:sz w:val="24"/>
          <w:szCs w:val="24"/>
          <w:shd w:val="clear" w:color="auto" w:fill="FFFFFF"/>
        </w:rPr>
        <w:t xml:space="preserve">[J]. </w:t>
      </w:r>
      <w:r>
        <w:rPr>
          <w:rFonts w:ascii="Times New Roman" w:hAnsi="Times New Roman" w:cs="宋体" w:hint="eastAsia"/>
          <w:color w:val="000000"/>
          <w:sz w:val="24"/>
          <w:szCs w:val="24"/>
          <w:shd w:val="clear" w:color="auto" w:fill="FFFFFF"/>
        </w:rPr>
        <w:t>循证医学</w:t>
      </w:r>
      <w:r>
        <w:rPr>
          <w:rFonts w:ascii="Times New Roman" w:hAnsi="Times New Roman" w:cs="Times New Roman"/>
          <w:color w:val="000000"/>
          <w:sz w:val="24"/>
          <w:szCs w:val="24"/>
          <w:shd w:val="clear" w:color="auto" w:fill="FFFFFF"/>
        </w:rPr>
        <w:t>, 2013, 13(5):271-273.</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27. </w:t>
      </w:r>
      <w:r>
        <w:rPr>
          <w:rFonts w:ascii="Times New Roman" w:hAnsi="Times New Roman" w:cs="宋体" w:hint="eastAsia"/>
          <w:color w:val="000000"/>
          <w:sz w:val="24"/>
          <w:szCs w:val="24"/>
          <w:shd w:val="clear" w:color="auto" w:fill="FFFFFF"/>
        </w:rPr>
        <w:t>耿素霞，翁建宇，黄欣，陆泽生，吴萍，黄励思，刘龙，</w:t>
      </w:r>
      <w:r>
        <w:rPr>
          <w:rFonts w:ascii="Times New Roman" w:hAnsi="Times New Roman" w:cs="宋体" w:hint="eastAsia"/>
          <w:b/>
          <w:bCs/>
          <w:color w:val="000000"/>
          <w:sz w:val="24"/>
          <w:szCs w:val="24"/>
          <w:shd w:val="clear" w:color="auto" w:fill="FFFFFF"/>
        </w:rPr>
        <w:t>杜欣</w:t>
      </w:r>
      <w:r>
        <w:rPr>
          <w:rFonts w:ascii="Times New Roman" w:hAnsi="Times New Roman" w:cs="Times New Roman"/>
          <w:color w:val="000000"/>
          <w:sz w:val="24"/>
          <w:szCs w:val="24"/>
          <w:shd w:val="clear" w:color="auto" w:fill="FFFFFF"/>
        </w:rPr>
        <w:t xml:space="preserve">. </w:t>
      </w:r>
      <w:r>
        <w:rPr>
          <w:rFonts w:ascii="Times New Roman" w:hAnsi="Times New Roman" w:cs="宋体" w:hint="eastAsia"/>
          <w:color w:val="000000"/>
          <w:sz w:val="24"/>
          <w:szCs w:val="24"/>
          <w:shd w:val="clear" w:color="auto" w:fill="FFFFFF"/>
        </w:rPr>
        <w:t>慢性髓性白血病患者酪氨酸激酶抑制剂治疗</w:t>
      </w:r>
      <w:r>
        <w:rPr>
          <w:rFonts w:ascii="Times New Roman" w:hAnsi="Times New Roman" w:cs="Times New Roman"/>
          <w:color w:val="000000"/>
          <w:sz w:val="24"/>
          <w:szCs w:val="24"/>
          <w:shd w:val="clear" w:color="auto" w:fill="FFFFFF"/>
        </w:rPr>
        <w:t>3</w:t>
      </w:r>
      <w:r>
        <w:rPr>
          <w:rFonts w:ascii="Times New Roman" w:hAnsi="Times New Roman" w:cs="宋体" w:hint="eastAsia"/>
          <w:color w:val="000000"/>
          <w:sz w:val="24"/>
          <w:szCs w:val="24"/>
          <w:shd w:val="clear" w:color="auto" w:fill="FFFFFF"/>
        </w:rPr>
        <w:t>个月分子反应的预后价值</w:t>
      </w:r>
      <w:r>
        <w:rPr>
          <w:rFonts w:ascii="Times New Roman" w:hAnsi="Times New Roman" w:cs="Times New Roman"/>
          <w:color w:val="000000"/>
          <w:sz w:val="24"/>
          <w:szCs w:val="24"/>
          <w:shd w:val="clear" w:color="auto" w:fill="FFFFFF"/>
        </w:rPr>
        <w:t xml:space="preserve">[J]. </w:t>
      </w:r>
      <w:r>
        <w:rPr>
          <w:rFonts w:ascii="Times New Roman" w:hAnsi="Times New Roman" w:cs="宋体" w:hint="eastAsia"/>
          <w:color w:val="000000"/>
          <w:sz w:val="24"/>
          <w:szCs w:val="24"/>
          <w:shd w:val="clear" w:color="auto" w:fill="FFFFFF"/>
        </w:rPr>
        <w:t>中华血液学杂志</w:t>
      </w:r>
      <w:r>
        <w:rPr>
          <w:rFonts w:ascii="Times New Roman" w:hAnsi="Times New Roman" w:cs="Times New Roman"/>
          <w:color w:val="000000"/>
          <w:sz w:val="24"/>
          <w:szCs w:val="24"/>
          <w:shd w:val="clear" w:color="auto" w:fill="FFFFFF"/>
        </w:rPr>
        <w:t>, 2013, 34(7):561-565.</w:t>
      </w:r>
    </w:p>
    <w:p w:rsidR="00132FBC" w:rsidRDefault="00132FBC">
      <w:pPr>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28. </w:t>
      </w:r>
      <w:r>
        <w:rPr>
          <w:rFonts w:ascii="Times New Roman" w:hAnsi="Times New Roman" w:cs="宋体" w:hint="eastAsia"/>
          <w:color w:val="000000"/>
          <w:sz w:val="24"/>
          <w:szCs w:val="24"/>
          <w:shd w:val="clear" w:color="auto" w:fill="FFFFFF"/>
        </w:rPr>
        <w:t>耿素霞，</w:t>
      </w:r>
      <w:r>
        <w:rPr>
          <w:rFonts w:ascii="Times New Roman" w:hAnsi="Times New Roman" w:cs="宋体" w:hint="eastAsia"/>
          <w:b/>
          <w:bCs/>
          <w:color w:val="000000"/>
          <w:sz w:val="24"/>
          <w:szCs w:val="24"/>
          <w:shd w:val="clear" w:color="auto" w:fill="FFFFFF"/>
        </w:rPr>
        <w:t>杜欣</w:t>
      </w:r>
      <w:r>
        <w:rPr>
          <w:rFonts w:ascii="Times New Roman" w:hAnsi="Times New Roman" w:cs="宋体" w:hint="eastAsia"/>
          <w:color w:val="000000"/>
          <w:sz w:val="24"/>
          <w:szCs w:val="24"/>
          <w:shd w:val="clear" w:color="auto" w:fill="FFFFFF"/>
        </w:rPr>
        <w:t>，翁建宇，黄欣，陆泽生，钟立业，郭荣，吴穗晶，吴萍</w:t>
      </w:r>
      <w:r>
        <w:rPr>
          <w:rFonts w:ascii="Times New Roman" w:hAnsi="Times New Roman" w:cs="Times New Roman"/>
          <w:color w:val="000000"/>
          <w:sz w:val="24"/>
          <w:szCs w:val="24"/>
          <w:shd w:val="clear" w:color="auto" w:fill="FFFFFF"/>
        </w:rPr>
        <w:t>. AML1-ETO</w:t>
      </w:r>
      <w:r>
        <w:rPr>
          <w:rFonts w:ascii="Times New Roman" w:hAnsi="Times New Roman" w:cs="宋体" w:hint="eastAsia"/>
          <w:color w:val="000000"/>
          <w:sz w:val="24"/>
          <w:szCs w:val="24"/>
          <w:shd w:val="clear" w:color="auto" w:fill="FFFFFF"/>
        </w:rPr>
        <w:t>阳性急性髓系白血病患者</w:t>
      </w:r>
      <w:r>
        <w:rPr>
          <w:rFonts w:ascii="Times New Roman" w:hAnsi="Times New Roman" w:cs="Times New Roman"/>
          <w:color w:val="000000"/>
          <w:sz w:val="24"/>
          <w:szCs w:val="24"/>
          <w:shd w:val="clear" w:color="auto" w:fill="FFFFFF"/>
        </w:rPr>
        <w:t>c-kit</w:t>
      </w:r>
      <w:r>
        <w:rPr>
          <w:rFonts w:ascii="Times New Roman" w:hAnsi="Times New Roman" w:cs="宋体" w:hint="eastAsia"/>
          <w:color w:val="000000"/>
          <w:sz w:val="24"/>
          <w:szCs w:val="24"/>
          <w:shd w:val="clear" w:color="auto" w:fill="FFFFFF"/>
        </w:rPr>
        <w:t>突变及其临床意义</w:t>
      </w:r>
      <w:r>
        <w:rPr>
          <w:rFonts w:ascii="Times New Roman" w:hAnsi="Times New Roman" w:cs="Times New Roman"/>
          <w:color w:val="000000"/>
          <w:sz w:val="24"/>
          <w:szCs w:val="24"/>
          <w:shd w:val="clear" w:color="auto" w:fill="FFFFFF"/>
        </w:rPr>
        <w:t xml:space="preserve">[J]. </w:t>
      </w:r>
      <w:r>
        <w:rPr>
          <w:rFonts w:ascii="Times New Roman" w:hAnsi="Times New Roman" w:cs="宋体" w:hint="eastAsia"/>
          <w:color w:val="000000"/>
          <w:sz w:val="24"/>
          <w:szCs w:val="24"/>
          <w:shd w:val="clear" w:color="auto" w:fill="FFFFFF"/>
        </w:rPr>
        <w:t>中国实验血液学杂志</w:t>
      </w:r>
      <w:r>
        <w:rPr>
          <w:rFonts w:ascii="Times New Roman" w:hAnsi="Times New Roman" w:cs="Times New Roman"/>
          <w:color w:val="000000"/>
          <w:sz w:val="24"/>
          <w:szCs w:val="24"/>
          <w:shd w:val="clear" w:color="auto" w:fill="FFFFFF"/>
        </w:rPr>
        <w:t>, 2013, 21(4):839-842.</w:t>
      </w:r>
    </w:p>
    <w:p w:rsidR="00132FBC" w:rsidRDefault="00132FBC">
      <w:pPr>
        <w:spacing w:line="360" w:lineRule="auto"/>
        <w:rPr>
          <w:rFonts w:ascii="Times New Roman" w:hAnsi="Times New Roman" w:cs="Times New Roman"/>
          <w:b/>
          <w:bCs/>
          <w:color w:val="000000"/>
          <w:sz w:val="24"/>
          <w:szCs w:val="24"/>
          <w:shd w:val="clear" w:color="auto" w:fill="FFFFFF"/>
        </w:rPr>
      </w:pPr>
      <w:r>
        <w:rPr>
          <w:rFonts w:ascii="Times New Roman" w:hAnsi="Times New Roman" w:cs="宋体" w:hint="eastAsia"/>
          <w:b/>
          <w:bCs/>
          <w:color w:val="000000"/>
          <w:sz w:val="24"/>
          <w:szCs w:val="24"/>
          <w:shd w:val="clear" w:color="auto" w:fill="FFFFFF"/>
        </w:rPr>
        <w:t>近三年承担和指导的在研项目：</w:t>
      </w:r>
    </w:p>
    <w:p w:rsidR="008A0A95" w:rsidRPr="008A0A95" w:rsidRDefault="008A0A95" w:rsidP="008A0A95">
      <w:pPr>
        <w:pStyle w:val="ListParagraph1"/>
        <w:numPr>
          <w:ilvl w:val="0"/>
          <w:numId w:val="1"/>
        </w:numPr>
        <w:spacing w:line="360" w:lineRule="auto"/>
        <w:ind w:firstLineChars="0"/>
        <w:rPr>
          <w:rFonts w:ascii="Times New Roman" w:hAnsi="Times New Roman" w:cs="Times New Roman"/>
          <w:color w:val="000000"/>
          <w:sz w:val="24"/>
          <w:szCs w:val="24"/>
          <w:shd w:val="clear" w:color="auto" w:fill="FFFFFF"/>
        </w:rPr>
      </w:pPr>
      <w:r w:rsidRPr="00090CA7">
        <w:rPr>
          <w:rFonts w:ascii="Times New Roman" w:hAnsi="Times New Roman" w:cs="Times New Roman"/>
          <w:color w:val="000000"/>
          <w:sz w:val="24"/>
          <w:szCs w:val="24"/>
          <w:shd w:val="clear" w:color="auto" w:fill="FFFFFF"/>
        </w:rPr>
        <w:t>2015</w:t>
      </w:r>
      <w:r w:rsidRPr="00090CA7">
        <w:rPr>
          <w:rFonts w:ascii="Times New Roman" w:hAnsi="Times New Roman" w:cs="宋体" w:hint="eastAsia"/>
          <w:color w:val="000000"/>
          <w:sz w:val="24"/>
          <w:szCs w:val="24"/>
          <w:shd w:val="clear" w:color="auto" w:fill="FFFFFF"/>
        </w:rPr>
        <w:t>年国家青年自然科学基金：</w:t>
      </w:r>
      <w:r w:rsidRPr="00090CA7">
        <w:rPr>
          <w:rFonts w:ascii="Times New Roman" w:hAnsi="Times New Roman" w:cs="Times New Roman"/>
          <w:color w:val="000000"/>
          <w:sz w:val="24"/>
          <w:szCs w:val="24"/>
          <w:shd w:val="clear" w:color="auto" w:fill="FFFFFF"/>
        </w:rPr>
        <w:t>MDS</w:t>
      </w:r>
      <w:r w:rsidRPr="00090CA7">
        <w:rPr>
          <w:rFonts w:ascii="Times New Roman" w:hAnsi="Times New Roman" w:cs="宋体" w:hint="eastAsia"/>
          <w:color w:val="000000"/>
          <w:sz w:val="24"/>
          <w:szCs w:val="24"/>
          <w:shd w:val="clear" w:color="auto" w:fill="FFFFFF"/>
        </w:rPr>
        <w:t>中</w:t>
      </w:r>
      <w:r w:rsidRPr="00090CA7">
        <w:rPr>
          <w:rFonts w:ascii="Times New Roman" w:hAnsi="Times New Roman" w:cs="Times New Roman"/>
          <w:color w:val="000000"/>
          <w:sz w:val="24"/>
          <w:szCs w:val="24"/>
          <w:shd w:val="clear" w:color="auto" w:fill="FFFFFF"/>
        </w:rPr>
        <w:t>BTLA</w:t>
      </w:r>
      <w:r w:rsidRPr="00090CA7">
        <w:rPr>
          <w:rFonts w:ascii="Times New Roman" w:hAnsi="Times New Roman" w:cs="宋体" w:hint="eastAsia"/>
          <w:color w:val="000000"/>
          <w:sz w:val="24"/>
          <w:szCs w:val="24"/>
          <w:shd w:val="clear" w:color="auto" w:fill="FFFFFF"/>
        </w:rPr>
        <w:t>介导γδ</w:t>
      </w:r>
      <w:r w:rsidRPr="00090CA7">
        <w:rPr>
          <w:rFonts w:ascii="Times New Roman" w:hAnsi="Times New Roman" w:cs="Times New Roman"/>
          <w:color w:val="000000"/>
          <w:sz w:val="24"/>
          <w:szCs w:val="24"/>
          <w:shd w:val="clear" w:color="auto" w:fill="FFFFFF"/>
        </w:rPr>
        <w:t> T</w:t>
      </w:r>
      <w:r w:rsidRPr="00090CA7">
        <w:rPr>
          <w:rFonts w:ascii="Times New Roman" w:hAnsi="Times New Roman" w:cs="宋体" w:hint="eastAsia"/>
          <w:color w:val="000000"/>
          <w:sz w:val="24"/>
          <w:szCs w:val="24"/>
          <w:shd w:val="clear" w:color="auto" w:fill="FFFFFF"/>
        </w:rPr>
        <w:t>细胞谱系和功能异常及其逆转调控研究</w:t>
      </w:r>
      <w:r w:rsidRPr="00090CA7">
        <w:rPr>
          <w:rFonts w:ascii="Times New Roman" w:hAnsi="Times New Roman" w:cs="Times New Roman"/>
          <w:color w:val="000000"/>
          <w:sz w:val="24"/>
          <w:szCs w:val="24"/>
          <w:shd w:val="clear" w:color="auto" w:fill="FFFFFF"/>
        </w:rPr>
        <w:t> </w:t>
      </w:r>
      <w:r w:rsidRPr="00090CA7">
        <w:rPr>
          <w:rFonts w:ascii="Times New Roman" w:hAnsi="Times New Roman" w:cs="宋体" w:hint="eastAsia"/>
          <w:color w:val="000000"/>
          <w:sz w:val="24"/>
          <w:szCs w:val="24"/>
          <w:shd w:val="clear" w:color="auto" w:fill="FFFFFF"/>
        </w:rPr>
        <w:t>（</w:t>
      </w:r>
      <w:r w:rsidRPr="00090CA7">
        <w:rPr>
          <w:rFonts w:ascii="Times New Roman" w:hAnsi="Times New Roman" w:cs="Times New Roman"/>
          <w:color w:val="000000"/>
          <w:sz w:val="24"/>
          <w:szCs w:val="24"/>
          <w:shd w:val="clear" w:color="auto" w:fill="FFFFFF"/>
        </w:rPr>
        <w:t>81500102</w:t>
      </w:r>
      <w:r w:rsidRPr="00090CA7">
        <w:rPr>
          <w:rFonts w:ascii="Times New Roman" w:hAnsi="Times New Roman" w:cs="宋体" w:hint="eastAsia"/>
          <w:color w:val="000000"/>
          <w:sz w:val="24"/>
          <w:szCs w:val="24"/>
          <w:shd w:val="clear" w:color="auto" w:fill="FFFFFF"/>
        </w:rPr>
        <w:t>）</w:t>
      </w:r>
    </w:p>
    <w:p w:rsidR="008A0A95" w:rsidRDefault="008A0A95" w:rsidP="008A0A95">
      <w:pPr>
        <w:pStyle w:val="ListParagraph1"/>
        <w:numPr>
          <w:ilvl w:val="0"/>
          <w:numId w:val="1"/>
        </w:numPr>
        <w:spacing w:line="360" w:lineRule="auto"/>
        <w:ind w:firstLineChars="0"/>
        <w:rPr>
          <w:rFonts w:ascii="Times New Roman" w:hAnsi="Times New Roman" w:cs="Times New Roman"/>
          <w:color w:val="000000"/>
          <w:sz w:val="24"/>
          <w:szCs w:val="24"/>
          <w:shd w:val="clear" w:color="auto" w:fill="FFFFFF"/>
        </w:rPr>
      </w:pPr>
      <w:r>
        <w:rPr>
          <w:rFonts w:ascii="Times New Roman" w:hAnsi="Times New Roman" w:cs="宋体" w:hint="eastAsia"/>
          <w:color w:val="000000"/>
          <w:sz w:val="24"/>
          <w:szCs w:val="24"/>
          <w:shd w:val="clear" w:color="auto" w:fill="FFFFFF"/>
        </w:rPr>
        <w:t>2014</w:t>
      </w:r>
      <w:r>
        <w:rPr>
          <w:rFonts w:ascii="Times New Roman" w:hAnsi="Times New Roman" w:cs="宋体" w:hint="eastAsia"/>
          <w:color w:val="000000"/>
          <w:sz w:val="24"/>
          <w:szCs w:val="24"/>
          <w:shd w:val="clear" w:color="auto" w:fill="FFFFFF"/>
        </w:rPr>
        <w:t>年广州市健康医疗协同创新重大专项：干细胞治疗共性关键技术与评价体系的建立和应用（</w:t>
      </w:r>
      <w:r>
        <w:rPr>
          <w:rFonts w:ascii="Times New Roman" w:hAnsi="Times New Roman" w:cs="Times New Roman"/>
          <w:color w:val="000000"/>
          <w:sz w:val="24"/>
          <w:szCs w:val="24"/>
          <w:shd w:val="clear" w:color="auto" w:fill="FFFFFF"/>
        </w:rPr>
        <w:t>201400000003-1</w:t>
      </w:r>
      <w:r>
        <w:rPr>
          <w:rFonts w:ascii="Times New Roman" w:hAnsi="Times New Roman" w:cs="宋体" w:hint="eastAsia"/>
          <w:color w:val="000000"/>
          <w:sz w:val="24"/>
          <w:szCs w:val="24"/>
          <w:shd w:val="clear" w:color="auto" w:fill="FFFFFF"/>
        </w:rPr>
        <w:t>），</w:t>
      </w:r>
    </w:p>
    <w:p w:rsidR="00132FBC" w:rsidRDefault="008A0A95">
      <w:pPr>
        <w:pStyle w:val="ListParagraph1"/>
        <w:numPr>
          <w:ilvl w:val="0"/>
          <w:numId w:val="1"/>
        </w:numPr>
        <w:spacing w:line="360" w:lineRule="auto"/>
        <w:ind w:firstLineChars="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2014</w:t>
      </w:r>
      <w:r w:rsidR="00132FBC">
        <w:rPr>
          <w:rFonts w:ascii="Times New Roman" w:hAnsi="Times New Roman" w:cs="宋体" w:hint="eastAsia"/>
          <w:color w:val="000000"/>
          <w:sz w:val="24"/>
          <w:szCs w:val="24"/>
          <w:shd w:val="clear" w:color="auto" w:fill="FFFFFF"/>
        </w:rPr>
        <w:t>广东省科技年公益研究与能力建设专项重点项目</w:t>
      </w:r>
      <w:r w:rsidR="00132FBC">
        <w:rPr>
          <w:rFonts w:ascii="Times New Roman" w:hAnsi="Times New Roman" w:cs="Times New Roman"/>
          <w:color w:val="000000"/>
          <w:sz w:val="24"/>
          <w:szCs w:val="24"/>
          <w:shd w:val="clear" w:color="auto" w:fill="FFFFFF"/>
        </w:rPr>
        <w:t>:</w:t>
      </w:r>
      <w:r w:rsidR="00132FBC">
        <w:t xml:space="preserve"> </w:t>
      </w:r>
      <w:r w:rsidR="00132FBC">
        <w:rPr>
          <w:rFonts w:ascii="Times New Roman" w:hAnsi="Times New Roman" w:cs="宋体" w:hint="eastAsia"/>
          <w:color w:val="000000"/>
          <w:sz w:val="24"/>
          <w:szCs w:val="24"/>
          <w:shd w:val="clear" w:color="auto" w:fill="FFFFFF"/>
        </w:rPr>
        <w:t>“</w:t>
      </w:r>
      <w:r w:rsidR="00132FBC">
        <w:rPr>
          <w:rFonts w:ascii="Times New Roman" w:hAnsi="Times New Roman" w:cs="Times New Roman"/>
          <w:color w:val="000000"/>
          <w:sz w:val="24"/>
          <w:szCs w:val="24"/>
          <w:shd w:val="clear" w:color="auto" w:fill="FFFFFF"/>
        </w:rPr>
        <w:t>MSC</w:t>
      </w:r>
      <w:r w:rsidR="00132FBC">
        <w:rPr>
          <w:rFonts w:ascii="Times New Roman" w:hAnsi="Times New Roman" w:cs="宋体" w:hint="eastAsia"/>
          <w:color w:val="000000"/>
          <w:sz w:val="24"/>
          <w:szCs w:val="24"/>
          <w:shd w:val="clear" w:color="auto" w:fill="FFFFFF"/>
        </w:rPr>
        <w:t>”方案治疗</w:t>
      </w:r>
      <w:r w:rsidR="00132FBC">
        <w:rPr>
          <w:rFonts w:ascii="Times New Roman" w:hAnsi="Times New Roman" w:cs="Times New Roman"/>
          <w:color w:val="000000"/>
          <w:sz w:val="24"/>
          <w:szCs w:val="24"/>
          <w:shd w:val="clear" w:color="auto" w:fill="FFFFFF"/>
        </w:rPr>
        <w:t>GVHD</w:t>
      </w:r>
      <w:r w:rsidR="00132FBC">
        <w:rPr>
          <w:rFonts w:ascii="Times New Roman" w:hAnsi="Times New Roman" w:cs="宋体" w:hint="eastAsia"/>
          <w:color w:val="000000"/>
          <w:sz w:val="24"/>
          <w:szCs w:val="24"/>
          <w:shd w:val="clear" w:color="auto" w:fill="FFFFFF"/>
        </w:rPr>
        <w:t>的前瞻性、多中心、开放、随机对照临床研究（</w:t>
      </w:r>
      <w:r w:rsidR="00132FBC">
        <w:rPr>
          <w:rFonts w:ascii="Times New Roman" w:hAnsi="Times New Roman" w:cs="Times New Roman"/>
          <w:color w:val="000000"/>
          <w:sz w:val="24"/>
          <w:szCs w:val="24"/>
          <w:shd w:val="clear" w:color="auto" w:fill="FFFFFF"/>
        </w:rPr>
        <w:t>2014B020212009</w:t>
      </w:r>
      <w:r w:rsidR="00132FBC">
        <w:rPr>
          <w:rFonts w:ascii="Times New Roman" w:hAnsi="Times New Roman" w:cs="宋体" w:hint="eastAsia"/>
          <w:color w:val="000000"/>
          <w:sz w:val="24"/>
          <w:szCs w:val="24"/>
          <w:shd w:val="clear" w:color="auto" w:fill="FFFFFF"/>
        </w:rPr>
        <w:t>），</w:t>
      </w:r>
    </w:p>
    <w:p w:rsidR="00132FBC" w:rsidRDefault="00132FBC">
      <w:pPr>
        <w:pStyle w:val="ListParagraph1"/>
        <w:numPr>
          <w:ilvl w:val="0"/>
          <w:numId w:val="1"/>
        </w:numPr>
        <w:spacing w:line="360" w:lineRule="auto"/>
        <w:ind w:firstLineChars="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2013</w:t>
      </w:r>
      <w:r>
        <w:rPr>
          <w:rFonts w:ascii="Times New Roman" w:hAnsi="Times New Roman" w:cs="宋体" w:hint="eastAsia"/>
          <w:color w:val="000000"/>
          <w:sz w:val="24"/>
          <w:szCs w:val="24"/>
          <w:shd w:val="clear" w:color="auto" w:fill="FFFFFF"/>
        </w:rPr>
        <w:t>广东省科技计划：阻断</w:t>
      </w:r>
      <w:r>
        <w:rPr>
          <w:rFonts w:ascii="Times New Roman" w:hAnsi="Times New Roman" w:cs="Times New Roman"/>
          <w:color w:val="000000"/>
          <w:sz w:val="24"/>
          <w:szCs w:val="24"/>
          <w:shd w:val="clear" w:color="auto" w:fill="FFFFFF"/>
        </w:rPr>
        <w:t>STAT3</w:t>
      </w:r>
      <w:r>
        <w:rPr>
          <w:rFonts w:ascii="Times New Roman" w:hAnsi="Times New Roman" w:cs="宋体" w:hint="eastAsia"/>
          <w:color w:val="000000"/>
          <w:sz w:val="24"/>
          <w:szCs w:val="24"/>
          <w:shd w:val="clear" w:color="auto" w:fill="FFFFFF"/>
        </w:rPr>
        <w:t>调控</w:t>
      </w:r>
      <w:r>
        <w:rPr>
          <w:rFonts w:ascii="Times New Roman" w:hAnsi="Times New Roman" w:cs="Times New Roman"/>
          <w:color w:val="000000"/>
          <w:sz w:val="24"/>
          <w:szCs w:val="24"/>
          <w:shd w:val="clear" w:color="auto" w:fill="FFFFFF"/>
        </w:rPr>
        <w:t>Th17/Treg</w:t>
      </w:r>
      <w:r>
        <w:rPr>
          <w:rFonts w:ascii="Times New Roman" w:hAnsi="Times New Roman" w:cs="宋体" w:hint="eastAsia"/>
          <w:color w:val="000000"/>
          <w:sz w:val="24"/>
          <w:szCs w:val="24"/>
          <w:shd w:val="clear" w:color="auto" w:fill="FFFFFF"/>
        </w:rPr>
        <w:t>平衡抑制</w:t>
      </w:r>
      <w:r>
        <w:rPr>
          <w:rFonts w:ascii="Times New Roman" w:hAnsi="Times New Roman" w:cs="Times New Roman"/>
          <w:color w:val="000000"/>
          <w:sz w:val="24"/>
          <w:szCs w:val="24"/>
          <w:shd w:val="clear" w:color="auto" w:fill="FFFFFF"/>
        </w:rPr>
        <w:t>cGVHD</w:t>
      </w:r>
      <w:r>
        <w:rPr>
          <w:rFonts w:ascii="Times New Roman" w:hAnsi="Times New Roman" w:cs="宋体" w:hint="eastAsia"/>
          <w:color w:val="000000"/>
          <w:sz w:val="24"/>
          <w:szCs w:val="24"/>
          <w:shd w:val="clear" w:color="auto" w:fill="FFFFFF"/>
        </w:rPr>
        <w:t>的实验研究（</w:t>
      </w:r>
      <w:r>
        <w:rPr>
          <w:rFonts w:ascii="Times New Roman" w:hAnsi="Times New Roman" w:cs="Times New Roman"/>
          <w:color w:val="000000"/>
          <w:sz w:val="24"/>
          <w:szCs w:val="24"/>
          <w:shd w:val="clear" w:color="auto" w:fill="FFFFFF"/>
        </w:rPr>
        <w:t>2013B021800201</w:t>
      </w:r>
      <w:r>
        <w:rPr>
          <w:rFonts w:ascii="Times New Roman" w:hAnsi="Times New Roman" w:cs="宋体" w:hint="eastAsia"/>
          <w:color w:val="000000"/>
          <w:sz w:val="24"/>
          <w:szCs w:val="24"/>
          <w:shd w:val="clear" w:color="auto" w:fill="FFFFFF"/>
        </w:rPr>
        <w:t>），</w:t>
      </w:r>
    </w:p>
    <w:p w:rsidR="00132FBC" w:rsidRPr="00090CA7" w:rsidRDefault="00132FBC" w:rsidP="00090CA7">
      <w:pPr>
        <w:pStyle w:val="ListParagraph1"/>
        <w:numPr>
          <w:ilvl w:val="0"/>
          <w:numId w:val="1"/>
        </w:numPr>
        <w:spacing w:line="360" w:lineRule="auto"/>
        <w:ind w:firstLineChars="0"/>
        <w:rPr>
          <w:rFonts w:ascii="Times New Roman" w:hAnsi="Times New Roman" w:cs="Times New Roman"/>
          <w:color w:val="000000"/>
          <w:sz w:val="24"/>
          <w:szCs w:val="24"/>
          <w:shd w:val="clear" w:color="auto" w:fill="FFFFFF"/>
        </w:rPr>
      </w:pPr>
      <w:r w:rsidRPr="00090CA7">
        <w:rPr>
          <w:rFonts w:ascii="Times New Roman" w:hAnsi="Times New Roman" w:cs="Times New Roman"/>
          <w:color w:val="000000"/>
          <w:sz w:val="24"/>
          <w:szCs w:val="24"/>
          <w:shd w:val="clear" w:color="auto" w:fill="FFFFFF"/>
        </w:rPr>
        <w:t>2013</w:t>
      </w:r>
      <w:r w:rsidRPr="00090CA7">
        <w:rPr>
          <w:rFonts w:ascii="Times New Roman" w:hAnsi="Times New Roman" w:cs="宋体" w:hint="eastAsia"/>
          <w:color w:val="000000"/>
          <w:sz w:val="24"/>
          <w:szCs w:val="24"/>
          <w:shd w:val="clear" w:color="auto" w:fill="FFFFFF"/>
        </w:rPr>
        <w:t>年国家自然科学基金：下调</w:t>
      </w:r>
      <w:r w:rsidRPr="00090CA7">
        <w:rPr>
          <w:rFonts w:ascii="Times New Roman" w:hAnsi="Times New Roman" w:cs="Times New Roman"/>
          <w:color w:val="000000"/>
          <w:sz w:val="24"/>
          <w:szCs w:val="24"/>
          <w:shd w:val="clear" w:color="auto" w:fill="FFFFFF"/>
        </w:rPr>
        <w:t>Bcl-6</w:t>
      </w:r>
      <w:r w:rsidRPr="00090CA7">
        <w:rPr>
          <w:rFonts w:ascii="Times New Roman" w:hAnsi="Times New Roman" w:cs="宋体" w:hint="eastAsia"/>
          <w:color w:val="000000"/>
          <w:sz w:val="24"/>
          <w:szCs w:val="24"/>
          <w:shd w:val="clear" w:color="auto" w:fill="FFFFFF"/>
        </w:rPr>
        <w:t>抑制滤泡辅助性</w:t>
      </w:r>
      <w:r w:rsidRPr="00090CA7">
        <w:rPr>
          <w:rFonts w:ascii="Times New Roman" w:hAnsi="Times New Roman" w:cs="Times New Roman"/>
          <w:color w:val="000000"/>
          <w:sz w:val="24"/>
          <w:szCs w:val="24"/>
          <w:shd w:val="clear" w:color="auto" w:fill="FFFFFF"/>
        </w:rPr>
        <w:t>T</w:t>
      </w:r>
      <w:r w:rsidRPr="00090CA7">
        <w:rPr>
          <w:rFonts w:ascii="Times New Roman" w:hAnsi="Times New Roman" w:cs="宋体" w:hint="eastAsia"/>
          <w:color w:val="000000"/>
          <w:sz w:val="24"/>
          <w:szCs w:val="24"/>
          <w:shd w:val="clear" w:color="auto" w:fill="FFFFFF"/>
        </w:rPr>
        <w:t>细胞抗</w:t>
      </w:r>
      <w:r w:rsidRPr="00090CA7">
        <w:rPr>
          <w:rFonts w:ascii="Times New Roman" w:hAnsi="Times New Roman" w:cs="Times New Roman"/>
          <w:color w:val="000000"/>
          <w:sz w:val="24"/>
          <w:szCs w:val="24"/>
          <w:shd w:val="clear" w:color="auto" w:fill="FFFFFF"/>
        </w:rPr>
        <w:t>cGVHD</w:t>
      </w:r>
      <w:r w:rsidRPr="00090CA7">
        <w:rPr>
          <w:rFonts w:ascii="Times New Roman" w:hAnsi="Times New Roman" w:cs="宋体" w:hint="eastAsia"/>
          <w:color w:val="000000"/>
          <w:sz w:val="24"/>
          <w:szCs w:val="24"/>
          <w:shd w:val="clear" w:color="auto" w:fill="FFFFFF"/>
        </w:rPr>
        <w:t>的作用机制研究（</w:t>
      </w:r>
      <w:r w:rsidRPr="00090CA7">
        <w:rPr>
          <w:rFonts w:ascii="Times New Roman" w:hAnsi="Times New Roman" w:cs="Times New Roman"/>
          <w:color w:val="000000"/>
          <w:sz w:val="24"/>
          <w:szCs w:val="24"/>
          <w:shd w:val="clear" w:color="auto" w:fill="FFFFFF"/>
        </w:rPr>
        <w:t>81370665</w:t>
      </w:r>
      <w:r w:rsidRPr="00090CA7">
        <w:rPr>
          <w:rFonts w:ascii="Times New Roman" w:hAnsi="Times New Roman" w:cs="宋体" w:hint="eastAsia"/>
          <w:color w:val="000000"/>
          <w:sz w:val="24"/>
          <w:szCs w:val="24"/>
          <w:shd w:val="clear" w:color="auto" w:fill="FFFFFF"/>
        </w:rPr>
        <w:t>）</w:t>
      </w:r>
    </w:p>
    <w:p w:rsidR="00132FBC" w:rsidRPr="008A0A95" w:rsidRDefault="00132FBC" w:rsidP="00090CA7">
      <w:pPr>
        <w:pStyle w:val="ListParagraph1"/>
        <w:numPr>
          <w:ilvl w:val="0"/>
          <w:numId w:val="1"/>
        </w:numPr>
        <w:spacing w:line="360" w:lineRule="auto"/>
        <w:ind w:firstLineChars="0"/>
        <w:rPr>
          <w:rFonts w:ascii="Times New Roman" w:hAnsi="Times New Roman" w:cs="Times New Roman"/>
          <w:color w:val="000000"/>
          <w:sz w:val="24"/>
          <w:szCs w:val="24"/>
          <w:shd w:val="clear" w:color="auto" w:fill="FFFFFF"/>
        </w:rPr>
      </w:pPr>
      <w:r w:rsidRPr="00090CA7">
        <w:rPr>
          <w:rFonts w:ascii="Times New Roman" w:hAnsi="Times New Roman" w:cs="Times New Roman"/>
          <w:color w:val="000000"/>
          <w:sz w:val="24"/>
          <w:szCs w:val="24"/>
          <w:shd w:val="clear" w:color="auto" w:fill="FFFFFF"/>
        </w:rPr>
        <w:t>2013</w:t>
      </w:r>
      <w:r w:rsidRPr="00090CA7">
        <w:rPr>
          <w:rFonts w:ascii="Times New Roman" w:hAnsi="Times New Roman" w:cs="宋体" w:hint="eastAsia"/>
          <w:color w:val="000000"/>
          <w:sz w:val="24"/>
          <w:szCs w:val="24"/>
          <w:shd w:val="clear" w:color="auto" w:fill="FFFFFF"/>
        </w:rPr>
        <w:t>年国家青年自然科学基金：</w:t>
      </w:r>
      <w:r w:rsidRPr="00090CA7">
        <w:rPr>
          <w:rFonts w:ascii="Times New Roman" w:hAnsi="Times New Roman" w:cs="Times New Roman"/>
          <w:color w:val="000000"/>
          <w:sz w:val="24"/>
          <w:szCs w:val="24"/>
          <w:shd w:val="clear" w:color="auto" w:fill="FFFFFF"/>
        </w:rPr>
        <w:t>C5a/C5aR</w:t>
      </w:r>
      <w:r w:rsidRPr="00090CA7">
        <w:rPr>
          <w:rFonts w:ascii="Times New Roman" w:hAnsi="Times New Roman" w:cs="宋体" w:hint="eastAsia"/>
          <w:color w:val="000000"/>
          <w:sz w:val="24"/>
          <w:szCs w:val="24"/>
          <w:shd w:val="clear" w:color="auto" w:fill="FFFFFF"/>
        </w:rPr>
        <w:t>补体途径在间充质干细胞治疗</w:t>
      </w:r>
      <w:r w:rsidRPr="00090CA7">
        <w:rPr>
          <w:rFonts w:ascii="Times New Roman" w:hAnsi="Times New Roman" w:cs="Times New Roman"/>
          <w:color w:val="000000"/>
          <w:sz w:val="24"/>
          <w:szCs w:val="24"/>
          <w:shd w:val="clear" w:color="auto" w:fill="FFFFFF"/>
        </w:rPr>
        <w:t>cGVHD</w:t>
      </w:r>
      <w:r w:rsidRPr="00090CA7">
        <w:rPr>
          <w:rFonts w:ascii="Times New Roman" w:hAnsi="Times New Roman" w:cs="宋体" w:hint="eastAsia"/>
          <w:color w:val="000000"/>
          <w:sz w:val="24"/>
          <w:szCs w:val="24"/>
          <w:shd w:val="clear" w:color="auto" w:fill="FFFFFF"/>
        </w:rPr>
        <w:t>中的作用机制（</w:t>
      </w:r>
      <w:r w:rsidRPr="00090CA7">
        <w:rPr>
          <w:rFonts w:ascii="Times New Roman" w:hAnsi="Times New Roman" w:cs="Times New Roman"/>
          <w:color w:val="000000"/>
          <w:sz w:val="24"/>
          <w:szCs w:val="24"/>
          <w:shd w:val="clear" w:color="auto" w:fill="FFFFFF"/>
        </w:rPr>
        <w:t>81300446</w:t>
      </w:r>
      <w:r w:rsidRPr="00090CA7">
        <w:rPr>
          <w:rFonts w:ascii="Times New Roman" w:hAnsi="Times New Roman" w:cs="宋体" w:hint="eastAsia"/>
          <w:color w:val="000000"/>
          <w:sz w:val="24"/>
          <w:szCs w:val="24"/>
          <w:shd w:val="clear" w:color="auto" w:fill="FFFFFF"/>
        </w:rPr>
        <w:t>）</w:t>
      </w:r>
    </w:p>
    <w:p w:rsidR="008A0A95" w:rsidRDefault="008A0A95" w:rsidP="008A0A95">
      <w:pPr>
        <w:pStyle w:val="ListParagraph1"/>
        <w:numPr>
          <w:ilvl w:val="0"/>
          <w:numId w:val="1"/>
        </w:numPr>
        <w:spacing w:line="360" w:lineRule="auto"/>
        <w:ind w:firstLineChars="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2012</w:t>
      </w:r>
      <w:r>
        <w:rPr>
          <w:rFonts w:ascii="Times New Roman" w:hAnsi="Times New Roman" w:cs="宋体" w:hint="eastAsia"/>
          <w:color w:val="000000"/>
          <w:sz w:val="24"/>
          <w:szCs w:val="24"/>
          <w:shd w:val="clear" w:color="auto" w:fill="FFFFFF"/>
        </w:rPr>
        <w:t>国家自然科学基金：阻断</w:t>
      </w:r>
      <w:r>
        <w:rPr>
          <w:rFonts w:ascii="Times New Roman" w:hAnsi="Times New Roman" w:cs="Times New Roman"/>
          <w:color w:val="000000"/>
          <w:sz w:val="24"/>
          <w:szCs w:val="24"/>
          <w:shd w:val="clear" w:color="auto" w:fill="FFFFFF"/>
        </w:rPr>
        <w:t>STAT3</w:t>
      </w:r>
      <w:r>
        <w:rPr>
          <w:rFonts w:ascii="Times New Roman" w:hAnsi="Times New Roman" w:cs="宋体" w:hint="eastAsia"/>
          <w:color w:val="000000"/>
          <w:sz w:val="24"/>
          <w:szCs w:val="24"/>
          <w:shd w:val="clear" w:color="auto" w:fill="FFFFFF"/>
        </w:rPr>
        <w:t>调控</w:t>
      </w:r>
      <w:r>
        <w:rPr>
          <w:rFonts w:ascii="Times New Roman" w:hAnsi="Times New Roman" w:cs="Times New Roman"/>
          <w:color w:val="000000"/>
          <w:sz w:val="24"/>
          <w:szCs w:val="24"/>
          <w:shd w:val="clear" w:color="auto" w:fill="FFFFFF"/>
        </w:rPr>
        <w:t>Th17/Treg</w:t>
      </w:r>
      <w:r>
        <w:rPr>
          <w:rFonts w:ascii="Times New Roman" w:hAnsi="Times New Roman" w:cs="宋体" w:hint="eastAsia"/>
          <w:color w:val="000000"/>
          <w:sz w:val="24"/>
          <w:szCs w:val="24"/>
          <w:shd w:val="clear" w:color="auto" w:fill="FFFFFF"/>
        </w:rPr>
        <w:t>平衡抑制</w:t>
      </w:r>
      <w:r>
        <w:rPr>
          <w:rFonts w:ascii="Times New Roman" w:hAnsi="Times New Roman" w:cs="Times New Roman"/>
          <w:color w:val="000000"/>
          <w:sz w:val="24"/>
          <w:szCs w:val="24"/>
          <w:shd w:val="clear" w:color="auto" w:fill="FFFFFF"/>
        </w:rPr>
        <w:t>cGVHD</w:t>
      </w:r>
      <w:r>
        <w:rPr>
          <w:rFonts w:ascii="Times New Roman" w:hAnsi="Times New Roman" w:cs="宋体" w:hint="eastAsia"/>
          <w:color w:val="000000"/>
          <w:sz w:val="24"/>
          <w:szCs w:val="24"/>
          <w:shd w:val="clear" w:color="auto" w:fill="FFFFFF"/>
        </w:rPr>
        <w:t>的实验研究（</w:t>
      </w:r>
      <w:r>
        <w:rPr>
          <w:rFonts w:ascii="Times New Roman" w:hAnsi="Times New Roman" w:cs="Times New Roman"/>
          <w:color w:val="000000"/>
          <w:sz w:val="24"/>
          <w:szCs w:val="24"/>
          <w:shd w:val="clear" w:color="auto" w:fill="FFFFFF"/>
        </w:rPr>
        <w:t>81270648</w:t>
      </w:r>
      <w:r>
        <w:rPr>
          <w:rFonts w:ascii="Times New Roman" w:hAnsi="Times New Roman" w:cs="宋体" w:hint="eastAsia"/>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p>
    <w:p w:rsidR="008A0A95" w:rsidRDefault="008A0A95">
      <w:pPr>
        <w:rPr>
          <w:rFonts w:ascii="Times New Roman" w:hAnsi="Times New Roman" w:cs="宋体"/>
          <w:b/>
          <w:bCs/>
          <w:color w:val="000000"/>
          <w:sz w:val="24"/>
          <w:szCs w:val="24"/>
          <w:shd w:val="clear" w:color="auto" w:fill="FFFFFF"/>
        </w:rPr>
      </w:pPr>
    </w:p>
    <w:p w:rsidR="008A0A95" w:rsidRDefault="008A0A95">
      <w:pPr>
        <w:rPr>
          <w:rFonts w:ascii="Times New Roman" w:hAnsi="Times New Roman" w:cs="宋体"/>
          <w:b/>
          <w:bCs/>
          <w:color w:val="000000"/>
          <w:sz w:val="24"/>
          <w:szCs w:val="24"/>
          <w:shd w:val="clear" w:color="auto" w:fill="FFFFFF"/>
        </w:rPr>
      </w:pPr>
    </w:p>
    <w:p w:rsidR="00132FBC" w:rsidRPr="008A0A95" w:rsidRDefault="00132FBC">
      <w:pPr>
        <w:rPr>
          <w:rFonts w:ascii="Times New Roman" w:hAnsi="Times New Roman" w:cs="Times New Roman"/>
          <w:b/>
          <w:bCs/>
          <w:color w:val="000000"/>
          <w:sz w:val="32"/>
          <w:szCs w:val="32"/>
          <w:shd w:val="clear" w:color="auto" w:fill="FFFFFF"/>
        </w:rPr>
      </w:pPr>
      <w:r w:rsidRPr="008A0A95">
        <w:rPr>
          <w:rFonts w:ascii="Times New Roman" w:hAnsi="Times New Roman" w:cs="宋体" w:hint="eastAsia"/>
          <w:b/>
          <w:bCs/>
          <w:color w:val="000000"/>
          <w:sz w:val="32"/>
          <w:szCs w:val="32"/>
          <w:shd w:val="clear" w:color="auto" w:fill="FFFFFF"/>
        </w:rPr>
        <w:t>学科特色</w:t>
      </w:r>
    </w:p>
    <w:p w:rsidR="00132FBC" w:rsidRDefault="00132FBC" w:rsidP="00FE0DDD">
      <w:pPr>
        <w:spacing w:line="360" w:lineRule="auto"/>
        <w:ind w:firstLineChars="200" w:firstLine="480"/>
        <w:rPr>
          <w:rFonts w:ascii="Times New Roman" w:hAnsi="Times New Roman" w:cs="Times New Roman"/>
          <w:color w:val="000000"/>
          <w:sz w:val="24"/>
          <w:szCs w:val="24"/>
          <w:shd w:val="clear" w:color="auto" w:fill="FFFFFF"/>
        </w:rPr>
      </w:pPr>
      <w:r>
        <w:rPr>
          <w:rFonts w:ascii="Times New Roman" w:hAnsi="Times New Roman" w:cs="宋体" w:hint="eastAsia"/>
          <w:color w:val="000000"/>
          <w:sz w:val="24"/>
          <w:szCs w:val="24"/>
          <w:shd w:val="clear" w:color="auto" w:fill="FFFFFF"/>
        </w:rPr>
        <w:t>广东省人民医院血液科创建于</w:t>
      </w:r>
      <w:r>
        <w:rPr>
          <w:rFonts w:ascii="Times New Roman" w:hAnsi="Times New Roman" w:cs="Times New Roman"/>
          <w:color w:val="000000"/>
          <w:sz w:val="24"/>
          <w:szCs w:val="24"/>
          <w:shd w:val="clear" w:color="auto" w:fill="FFFFFF"/>
        </w:rPr>
        <w:t>60</w:t>
      </w:r>
      <w:r>
        <w:rPr>
          <w:rFonts w:ascii="Times New Roman" w:hAnsi="Times New Roman" w:cs="宋体" w:hint="eastAsia"/>
          <w:color w:val="000000"/>
          <w:sz w:val="24"/>
          <w:szCs w:val="24"/>
          <w:shd w:val="clear" w:color="auto" w:fill="FFFFFF"/>
        </w:rPr>
        <w:t>年代，是集临床、科研、教学于一体的血液学科研医疗机构。是国家血液专业临床药物试验基地，国际多中心临床试验单位。是国际骨髓增生异常综合征（</w:t>
      </w:r>
      <w:r>
        <w:rPr>
          <w:rFonts w:ascii="Times New Roman" w:hAnsi="Times New Roman" w:cs="Times New Roman"/>
          <w:color w:val="000000"/>
          <w:sz w:val="24"/>
          <w:szCs w:val="24"/>
          <w:shd w:val="clear" w:color="auto" w:fill="FFFFFF"/>
        </w:rPr>
        <w:t>MDS</w:t>
      </w:r>
      <w:r>
        <w:rPr>
          <w:rFonts w:ascii="Times New Roman" w:hAnsi="Times New Roman" w:cs="宋体" w:hint="eastAsia"/>
          <w:color w:val="000000"/>
          <w:sz w:val="24"/>
          <w:szCs w:val="24"/>
          <w:shd w:val="clear" w:color="auto" w:fill="FFFFFF"/>
        </w:rPr>
        <w:t>）基金会认证的中国第三家、华南地区首家</w:t>
      </w:r>
      <w:r>
        <w:rPr>
          <w:rFonts w:ascii="Times New Roman" w:hAnsi="Times New Roman" w:cs="Times New Roman"/>
          <w:color w:val="000000"/>
          <w:sz w:val="24"/>
          <w:szCs w:val="24"/>
          <w:shd w:val="clear" w:color="auto" w:fill="FFFFFF"/>
        </w:rPr>
        <w:t>MDS</w:t>
      </w:r>
      <w:r>
        <w:rPr>
          <w:rFonts w:ascii="Times New Roman" w:hAnsi="Times New Roman" w:cs="宋体" w:hint="eastAsia"/>
          <w:color w:val="000000"/>
          <w:sz w:val="24"/>
          <w:szCs w:val="24"/>
          <w:shd w:val="clear" w:color="auto" w:fill="FFFFFF"/>
        </w:rPr>
        <w:t>优秀诊疗中心。是中国癌症基金会</w:t>
      </w:r>
      <w:r w:rsidRPr="002415C4">
        <w:rPr>
          <w:rFonts w:ascii="Times New Roman" w:hAnsi="Times New Roman" w:cs="宋体" w:hint="eastAsia"/>
          <w:color w:val="000000"/>
          <w:sz w:val="24"/>
          <w:szCs w:val="24"/>
          <w:shd w:val="clear" w:color="auto" w:fill="FFFFFF"/>
        </w:rPr>
        <w:t>慢性髓性白血病（</w:t>
      </w:r>
      <w:r w:rsidRPr="002415C4">
        <w:rPr>
          <w:rFonts w:ascii="Times New Roman" w:hAnsi="Times New Roman" w:cs="Times New Roman"/>
          <w:color w:val="000000"/>
          <w:sz w:val="24"/>
          <w:szCs w:val="24"/>
          <w:shd w:val="clear" w:color="auto" w:fill="FFFFFF"/>
        </w:rPr>
        <w:t>CML</w:t>
      </w:r>
      <w:r w:rsidRPr="002415C4">
        <w:rPr>
          <w:rFonts w:ascii="Times New Roman" w:hAnsi="Times New Roman" w:cs="宋体" w:hint="eastAsia"/>
          <w:color w:val="000000"/>
          <w:sz w:val="24"/>
          <w:szCs w:val="24"/>
          <w:shd w:val="clear" w:color="auto" w:fill="FFFFFF"/>
        </w:rPr>
        <w:t>）</w:t>
      </w:r>
      <w:r>
        <w:rPr>
          <w:rFonts w:ascii="Times New Roman" w:hAnsi="Times New Roman" w:cs="宋体" w:hint="eastAsia"/>
          <w:color w:val="000000"/>
          <w:sz w:val="24"/>
          <w:szCs w:val="24"/>
          <w:shd w:val="clear" w:color="auto" w:fill="FFFFFF"/>
        </w:rPr>
        <w:t>患者</w:t>
      </w:r>
      <w:r w:rsidRPr="002415C4">
        <w:rPr>
          <w:rFonts w:ascii="Times New Roman" w:hAnsi="Times New Roman" w:cs="Times New Roman"/>
          <w:color w:val="000000"/>
          <w:sz w:val="24"/>
          <w:szCs w:val="24"/>
          <w:shd w:val="clear" w:color="auto" w:fill="FFFFFF"/>
        </w:rPr>
        <w:t>BCR/ABL</w:t>
      </w:r>
      <w:r>
        <w:rPr>
          <w:rFonts w:ascii="Times New Roman" w:hAnsi="Times New Roman" w:cs="宋体" w:hint="eastAsia"/>
          <w:color w:val="000000"/>
          <w:sz w:val="24"/>
          <w:szCs w:val="24"/>
          <w:shd w:val="clear" w:color="auto" w:fill="FFFFFF"/>
        </w:rPr>
        <w:t>定量免费检测中心。</w:t>
      </w:r>
    </w:p>
    <w:p w:rsidR="00132FBC" w:rsidRDefault="00132FBC" w:rsidP="00FE0DDD">
      <w:pPr>
        <w:spacing w:line="360" w:lineRule="auto"/>
        <w:ind w:firstLineChars="200" w:firstLine="480"/>
        <w:rPr>
          <w:rFonts w:ascii="Times New Roman" w:hAnsi="Times New Roman" w:cs="Times New Roman"/>
          <w:color w:val="000000"/>
          <w:sz w:val="24"/>
          <w:szCs w:val="24"/>
          <w:shd w:val="clear" w:color="auto" w:fill="FFFFFF"/>
        </w:rPr>
      </w:pPr>
      <w:r>
        <w:rPr>
          <w:rFonts w:ascii="Times New Roman" w:hAnsi="Times New Roman" w:cs="宋体" w:hint="eastAsia"/>
          <w:color w:val="000000"/>
          <w:sz w:val="24"/>
          <w:szCs w:val="24"/>
          <w:shd w:val="clear" w:color="auto" w:fill="FFFFFF"/>
        </w:rPr>
        <w:t>是卫生部血液科医师培训基地，卫生部非血缘造血干细胞采集</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移植医院。中华骨髓库、台湾骨髓库、香港骨髓库及各地脐带血库合作单位。是广东省重点专科，广州干细胞联盟副理事长单位。建科以来，在血液病学及相关领域的基础和临床应用研究、血液学人才培养、血液肿瘤的综合诊治及个体化治疗、造血干细胞移植、移植物抗宿主病的防治、慢性髓性白血病</w:t>
      </w:r>
      <w:r>
        <w:rPr>
          <w:rFonts w:ascii="Times New Roman" w:hAnsi="Times New Roman" w:cs="Times New Roman"/>
          <w:color w:val="000000"/>
          <w:sz w:val="24"/>
          <w:szCs w:val="24"/>
          <w:shd w:val="clear" w:color="auto" w:fill="FFFFFF"/>
        </w:rPr>
        <w:t>BCR/ABL</w:t>
      </w:r>
      <w:r>
        <w:rPr>
          <w:rFonts w:ascii="Times New Roman" w:hAnsi="Times New Roman" w:cs="宋体" w:hint="eastAsia"/>
          <w:color w:val="000000"/>
          <w:sz w:val="24"/>
          <w:szCs w:val="24"/>
          <w:shd w:val="clear" w:color="auto" w:fill="FFFFFF"/>
        </w:rPr>
        <w:t>融合基因定量监测及骨髓增生异常综合征等方面取得突出的成绩，在业内享有较高的声誉。</w:t>
      </w:r>
    </w:p>
    <w:p w:rsidR="00132FBC" w:rsidRDefault="00132FBC" w:rsidP="00FE0DDD">
      <w:pPr>
        <w:spacing w:line="360" w:lineRule="auto"/>
        <w:ind w:firstLineChars="200" w:firstLine="480"/>
        <w:rPr>
          <w:rFonts w:ascii="Times New Roman" w:hAnsi="Times New Roman" w:cs="Times New Roman"/>
          <w:color w:val="000000"/>
          <w:sz w:val="24"/>
          <w:szCs w:val="24"/>
          <w:shd w:val="clear" w:color="auto" w:fill="FFFFFF"/>
        </w:rPr>
      </w:pPr>
      <w:r>
        <w:rPr>
          <w:rFonts w:ascii="Times New Roman" w:hAnsi="Times New Roman" w:cs="宋体" w:hint="eastAsia"/>
          <w:color w:val="000000"/>
          <w:sz w:val="24"/>
          <w:szCs w:val="24"/>
          <w:shd w:val="clear" w:color="auto" w:fill="FFFFFF"/>
        </w:rPr>
        <w:t>我科面向省内外收各类恶性血液病（白血病、骨髓增生异常综合症、慢性髓性白血病、骨髓瘤、淋巴瘤及骨髓增殖性疾病）、贫血、出凝血疾病患者以及疑难</w:t>
      </w:r>
      <w:r>
        <w:rPr>
          <w:rFonts w:ascii="Times New Roman" w:hAnsi="Times New Roman" w:cs="Times New Roman"/>
          <w:color w:val="000000"/>
          <w:sz w:val="24"/>
          <w:szCs w:val="24"/>
          <w:shd w:val="clear" w:color="auto" w:fill="FFFFFF"/>
        </w:rPr>
        <w:t>/</w:t>
      </w:r>
      <w:r>
        <w:rPr>
          <w:rFonts w:ascii="Times New Roman" w:hAnsi="Times New Roman" w:cs="宋体" w:hint="eastAsia"/>
          <w:color w:val="000000"/>
          <w:sz w:val="24"/>
          <w:szCs w:val="24"/>
          <w:shd w:val="clear" w:color="auto" w:fill="FFFFFF"/>
        </w:rPr>
        <w:t>危重患者。特色医疗：为恶性血液病患者提供</w:t>
      </w:r>
      <w:r>
        <w:rPr>
          <w:rFonts w:ascii="Times New Roman" w:hAnsi="Times New Roman" w:cs="Times New Roman"/>
          <w:color w:val="000000"/>
          <w:sz w:val="24"/>
          <w:szCs w:val="24"/>
          <w:shd w:val="clear" w:color="auto" w:fill="FFFFFF"/>
        </w:rPr>
        <w:t>MIGM</w:t>
      </w:r>
      <w:r>
        <w:rPr>
          <w:rFonts w:ascii="Times New Roman" w:hAnsi="Times New Roman" w:cs="宋体" w:hint="eastAsia"/>
          <w:color w:val="000000"/>
          <w:sz w:val="24"/>
          <w:szCs w:val="24"/>
          <w:shd w:val="clear" w:color="auto" w:fill="FFFFFF"/>
        </w:rPr>
        <w:t>精准诊断和</w:t>
      </w:r>
      <w:r>
        <w:rPr>
          <w:rFonts w:ascii="Times New Roman" w:hAnsi="Times New Roman" w:cs="Times New Roman"/>
          <w:color w:val="000000"/>
          <w:sz w:val="24"/>
          <w:szCs w:val="24"/>
          <w:shd w:val="clear" w:color="auto" w:fill="FFFFFF"/>
        </w:rPr>
        <w:t>MDT</w:t>
      </w:r>
      <w:r>
        <w:rPr>
          <w:rFonts w:ascii="Times New Roman" w:hAnsi="Times New Roman" w:cs="宋体" w:hint="eastAsia"/>
          <w:color w:val="000000"/>
          <w:sz w:val="24"/>
          <w:szCs w:val="24"/>
          <w:shd w:val="clear" w:color="auto" w:fill="FFFFFF"/>
        </w:rPr>
        <w:t>治疗的服务，同时开展血液病临床科研工作。其中恶性血液病的诊断治疗、造血干细胞移植、移植物抗宿主病防治等领域达国内先进水平。科室主要由血液病房和血液病实验室两部分组成：临床病房设有血液病区（主要收治各类白血病、骨髓增生异常综合症、骨髓增殖性疾病、淋巴瘤、骨髓瘤和各类贫血及出凝血疾病）和造血干细胞移植病区；血液病实验室设有细胞形态室、遗传室（染色体核型分析及</w:t>
      </w:r>
      <w:r>
        <w:rPr>
          <w:rFonts w:ascii="Times New Roman" w:hAnsi="Times New Roman" w:cs="Times New Roman"/>
          <w:color w:val="000000"/>
          <w:sz w:val="24"/>
          <w:szCs w:val="24"/>
          <w:shd w:val="clear" w:color="auto" w:fill="FFFFFF"/>
        </w:rPr>
        <w:t>FISH</w:t>
      </w:r>
      <w:r>
        <w:rPr>
          <w:rFonts w:ascii="Times New Roman" w:hAnsi="Times New Roman" w:cs="宋体" w:hint="eastAsia"/>
          <w:color w:val="000000"/>
          <w:sz w:val="24"/>
          <w:szCs w:val="24"/>
          <w:shd w:val="clear" w:color="auto" w:fill="FFFFFF"/>
        </w:rPr>
        <w:t>）、细胞培养、流式细胞术分析、分子实验室（白血病基因诊断）等实验室，为疾病诊断、疗效评价及个体化治疗提供强有力的支持，也为医学研究和临床转化研究提供实验平台。</w:t>
      </w:r>
    </w:p>
    <w:p w:rsidR="00132FBC" w:rsidRDefault="00132FBC">
      <w:pPr>
        <w:spacing w:line="360" w:lineRule="auto"/>
        <w:rPr>
          <w:rFonts w:ascii="Times New Roman" w:hAnsi="Times New Roman" w:cs="Times New Roman"/>
          <w:b/>
          <w:bCs/>
          <w:color w:val="000000"/>
          <w:sz w:val="24"/>
          <w:szCs w:val="24"/>
          <w:shd w:val="clear" w:color="auto" w:fill="FFFFFF"/>
        </w:rPr>
      </w:pPr>
      <w:r>
        <w:rPr>
          <w:rFonts w:ascii="Times New Roman" w:hAnsi="Times New Roman" w:cs="宋体" w:hint="eastAsia"/>
          <w:b/>
          <w:bCs/>
          <w:color w:val="000000"/>
          <w:sz w:val="24"/>
          <w:szCs w:val="24"/>
          <w:shd w:val="clear" w:color="auto" w:fill="FFFFFF"/>
        </w:rPr>
        <w:t>二、招生方向和对考生的主要要求</w:t>
      </w:r>
    </w:p>
    <w:p w:rsidR="00CE4A55" w:rsidRDefault="00CE4A55" w:rsidP="00F24EDF">
      <w:pPr>
        <w:spacing w:line="360" w:lineRule="auto"/>
        <w:rPr>
          <w:rFonts w:ascii="Times New Roman" w:hAnsi="Times New Roman" w:cs="宋体" w:hint="eastAsia"/>
          <w:color w:val="000000"/>
          <w:sz w:val="24"/>
          <w:szCs w:val="24"/>
          <w:shd w:val="clear" w:color="auto" w:fill="FFFFFF"/>
        </w:rPr>
      </w:pPr>
      <w:r>
        <w:rPr>
          <w:rFonts w:ascii="Times New Roman" w:hAnsi="Times New Roman" w:cs="宋体" w:hint="eastAsia"/>
          <w:color w:val="000000"/>
          <w:sz w:val="24"/>
          <w:szCs w:val="24"/>
          <w:shd w:val="clear" w:color="auto" w:fill="FFFFFF"/>
        </w:rPr>
        <w:t>（一）</w:t>
      </w:r>
      <w:r w:rsidR="00132FBC">
        <w:rPr>
          <w:rFonts w:ascii="Times New Roman" w:hAnsi="Times New Roman" w:cs="宋体" w:hint="eastAsia"/>
          <w:color w:val="000000"/>
          <w:sz w:val="24"/>
          <w:szCs w:val="24"/>
          <w:shd w:val="clear" w:color="auto" w:fill="FFFFFF"/>
        </w:rPr>
        <w:t>招生方向：</w:t>
      </w:r>
    </w:p>
    <w:p w:rsidR="00132FBC" w:rsidRDefault="00CE4A55" w:rsidP="00F24EDF">
      <w:pPr>
        <w:spacing w:line="360" w:lineRule="auto"/>
        <w:rPr>
          <w:rFonts w:ascii="Times New Roman" w:hAnsi="Times New Roman" w:cs="Times New Roman"/>
          <w:color w:val="000000"/>
          <w:sz w:val="24"/>
          <w:szCs w:val="24"/>
          <w:shd w:val="clear" w:color="auto" w:fill="FFFFFF"/>
        </w:rPr>
      </w:pPr>
      <w:r>
        <w:rPr>
          <w:rFonts w:ascii="Times New Roman" w:hAnsi="Times New Roman" w:cs="宋体" w:hint="eastAsia"/>
          <w:color w:val="000000"/>
          <w:sz w:val="24"/>
          <w:szCs w:val="24"/>
          <w:shd w:val="clear" w:color="auto" w:fill="FFFFFF"/>
        </w:rPr>
        <w:t>1.</w:t>
      </w:r>
      <w:r w:rsidR="00132FBC">
        <w:rPr>
          <w:rFonts w:ascii="Times New Roman" w:hAnsi="Times New Roman" w:cs="Times New Roman"/>
          <w:color w:val="000000"/>
          <w:sz w:val="24"/>
          <w:szCs w:val="24"/>
          <w:shd w:val="clear" w:color="auto" w:fill="FFFFFF"/>
        </w:rPr>
        <w:t>GVHD</w:t>
      </w:r>
      <w:r w:rsidR="00132FBC">
        <w:rPr>
          <w:rFonts w:ascii="Times New Roman" w:hAnsi="Times New Roman" w:cs="宋体" w:hint="eastAsia"/>
          <w:color w:val="000000"/>
          <w:sz w:val="24"/>
          <w:szCs w:val="24"/>
          <w:shd w:val="clear" w:color="auto" w:fill="FFFFFF"/>
        </w:rPr>
        <w:t>防治的基础与临床研究；</w:t>
      </w:r>
      <w:r w:rsidR="00132FBC">
        <w:rPr>
          <w:rFonts w:ascii="Times New Roman" w:hAnsi="Times New Roman" w:cs="Times New Roman"/>
          <w:color w:val="000000"/>
          <w:sz w:val="24"/>
          <w:szCs w:val="24"/>
          <w:shd w:val="clear" w:color="auto" w:fill="FFFFFF"/>
        </w:rPr>
        <w:t>2</w:t>
      </w:r>
      <w:r>
        <w:rPr>
          <w:rFonts w:ascii="Times New Roman" w:hAnsi="Times New Roman" w:cs="Times New Roman" w:hint="eastAsia"/>
          <w:color w:val="000000"/>
          <w:sz w:val="24"/>
          <w:szCs w:val="24"/>
          <w:shd w:val="clear" w:color="auto" w:fill="FFFFFF"/>
        </w:rPr>
        <w:t>.</w:t>
      </w:r>
      <w:r w:rsidR="00132FBC">
        <w:rPr>
          <w:rFonts w:ascii="宋体" w:hAnsi="宋体" w:cs="宋体" w:hint="eastAsia"/>
          <w:sz w:val="24"/>
          <w:szCs w:val="24"/>
        </w:rPr>
        <w:t>骨髓增生异常综合征（</w:t>
      </w:r>
      <w:r w:rsidR="00132FBC">
        <w:rPr>
          <w:rFonts w:ascii="宋体" w:hAnsi="宋体" w:cs="宋体"/>
          <w:sz w:val="24"/>
          <w:szCs w:val="24"/>
        </w:rPr>
        <w:t>MDS</w:t>
      </w:r>
      <w:r w:rsidR="00132FBC">
        <w:rPr>
          <w:rFonts w:ascii="宋体" w:hAnsi="宋体" w:cs="宋体" w:hint="eastAsia"/>
          <w:sz w:val="24"/>
          <w:szCs w:val="24"/>
        </w:rPr>
        <w:t>）的研究</w:t>
      </w:r>
    </w:p>
    <w:p w:rsidR="00132FBC" w:rsidRPr="00F24EDF" w:rsidRDefault="00CE4A55" w:rsidP="00F24EDF">
      <w:pPr>
        <w:spacing w:line="360" w:lineRule="auto"/>
        <w:rPr>
          <w:rFonts w:ascii="Times New Roman" w:hAnsi="Times New Roman" w:cs="Times New Roman"/>
          <w:color w:val="000000"/>
          <w:sz w:val="24"/>
          <w:szCs w:val="24"/>
          <w:shd w:val="clear" w:color="auto" w:fill="FFFFFF"/>
        </w:rPr>
      </w:pPr>
      <w:r>
        <w:rPr>
          <w:rFonts w:ascii="宋体" w:hAnsi="宋体" w:cs="宋体" w:hint="eastAsia"/>
          <w:sz w:val="24"/>
          <w:szCs w:val="24"/>
        </w:rPr>
        <w:t>（二）</w:t>
      </w:r>
      <w:r w:rsidR="00132FBC">
        <w:rPr>
          <w:rFonts w:ascii="宋体" w:hAnsi="宋体" w:cs="宋体" w:hint="eastAsia"/>
          <w:sz w:val="24"/>
          <w:szCs w:val="24"/>
        </w:rPr>
        <w:t>对考生要求：</w:t>
      </w:r>
      <w:r w:rsidR="00132FBC" w:rsidRPr="00F24EDF">
        <w:rPr>
          <w:rFonts w:cs="宋体" w:hint="eastAsia"/>
          <w:sz w:val="24"/>
          <w:szCs w:val="24"/>
        </w:rPr>
        <w:t>热爱所选专业</w:t>
      </w:r>
      <w:r w:rsidR="00F24EDF">
        <w:rPr>
          <w:rFonts w:cs="宋体" w:hint="eastAsia"/>
          <w:sz w:val="24"/>
          <w:szCs w:val="24"/>
        </w:rPr>
        <w:t xml:space="preserve">; </w:t>
      </w:r>
      <w:r w:rsidR="00132FBC">
        <w:rPr>
          <w:rFonts w:ascii="宋体" w:hAnsi="宋体" w:cs="宋体" w:hint="eastAsia"/>
          <w:sz w:val="24"/>
          <w:szCs w:val="24"/>
        </w:rPr>
        <w:t>乐观、进取，团队精神</w:t>
      </w:r>
    </w:p>
    <w:p w:rsidR="00132FBC" w:rsidRDefault="00132FBC">
      <w:pPr>
        <w:spacing w:line="360" w:lineRule="auto"/>
        <w:rPr>
          <w:rFonts w:cs="Times New Roman"/>
        </w:rPr>
      </w:pPr>
      <w:bookmarkStart w:id="0" w:name="_GoBack"/>
      <w:bookmarkEnd w:id="0"/>
    </w:p>
    <w:p w:rsidR="00132FBC" w:rsidRPr="00CE4A55" w:rsidRDefault="00132FBC">
      <w:pPr>
        <w:spacing w:line="360" w:lineRule="auto"/>
        <w:rPr>
          <w:rFonts w:ascii="Times New Roman" w:hAnsi="Times New Roman" w:cs="Times New Roman"/>
          <w:b/>
          <w:bCs/>
          <w:color w:val="000000"/>
          <w:sz w:val="24"/>
          <w:szCs w:val="24"/>
          <w:shd w:val="clear" w:color="auto" w:fill="FFFFFF"/>
        </w:rPr>
      </w:pPr>
    </w:p>
    <w:sectPr w:rsidR="00132FBC" w:rsidRPr="00CE4A55" w:rsidSect="003B75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5B4" w:rsidRDefault="00DF25B4" w:rsidP="00FE0DDD">
      <w:r>
        <w:separator/>
      </w:r>
    </w:p>
  </w:endnote>
  <w:endnote w:type="continuationSeparator" w:id="1">
    <w:p w:rsidR="00DF25B4" w:rsidRDefault="00DF25B4" w:rsidP="00FE0D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5B4" w:rsidRDefault="00DF25B4" w:rsidP="00FE0DDD">
      <w:r>
        <w:separator/>
      </w:r>
    </w:p>
  </w:footnote>
  <w:footnote w:type="continuationSeparator" w:id="1">
    <w:p w:rsidR="00DF25B4" w:rsidRDefault="00DF25B4" w:rsidP="00FE0D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53EA1"/>
    <w:multiLevelType w:val="multilevel"/>
    <w:tmpl w:val="14553EA1"/>
    <w:lvl w:ilvl="0">
      <w:start w:val="1"/>
      <w:numFmt w:val="decimal"/>
      <w:lvlText w:val="%1)"/>
      <w:lvlJc w:val="left"/>
      <w:pPr>
        <w:ind w:left="1410" w:hanging="420"/>
      </w:pPr>
      <w:rPr>
        <w:rFonts w:hint="eastAsia"/>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1">
    <w:nsid w:val="4AFB370C"/>
    <w:multiLevelType w:val="multilevel"/>
    <w:tmpl w:val="4AFB3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3FA1"/>
    <w:rsid w:val="0001294D"/>
    <w:rsid w:val="000245C9"/>
    <w:rsid w:val="00090CA7"/>
    <w:rsid w:val="00097A84"/>
    <w:rsid w:val="000B64AE"/>
    <w:rsid w:val="000F3EC7"/>
    <w:rsid w:val="00114971"/>
    <w:rsid w:val="00120916"/>
    <w:rsid w:val="00132FBC"/>
    <w:rsid w:val="00145D3E"/>
    <w:rsid w:val="00206A5B"/>
    <w:rsid w:val="002415C4"/>
    <w:rsid w:val="002A4819"/>
    <w:rsid w:val="00310CD0"/>
    <w:rsid w:val="003316FE"/>
    <w:rsid w:val="0036342C"/>
    <w:rsid w:val="003A3695"/>
    <w:rsid w:val="003B7565"/>
    <w:rsid w:val="003C5DB7"/>
    <w:rsid w:val="0041314E"/>
    <w:rsid w:val="0043080D"/>
    <w:rsid w:val="00446C06"/>
    <w:rsid w:val="004A3A0F"/>
    <w:rsid w:val="00536D02"/>
    <w:rsid w:val="00550265"/>
    <w:rsid w:val="00565C23"/>
    <w:rsid w:val="00580649"/>
    <w:rsid w:val="00585223"/>
    <w:rsid w:val="005C5AE3"/>
    <w:rsid w:val="005D61A6"/>
    <w:rsid w:val="006366D6"/>
    <w:rsid w:val="006B66A2"/>
    <w:rsid w:val="006E2BAF"/>
    <w:rsid w:val="007843B8"/>
    <w:rsid w:val="007B1589"/>
    <w:rsid w:val="007C1703"/>
    <w:rsid w:val="007C31E7"/>
    <w:rsid w:val="007D3FA1"/>
    <w:rsid w:val="00800CC1"/>
    <w:rsid w:val="00802645"/>
    <w:rsid w:val="00824204"/>
    <w:rsid w:val="0083174B"/>
    <w:rsid w:val="00851A23"/>
    <w:rsid w:val="00882F78"/>
    <w:rsid w:val="008A0A95"/>
    <w:rsid w:val="008B1B79"/>
    <w:rsid w:val="008C5B82"/>
    <w:rsid w:val="00912BC8"/>
    <w:rsid w:val="00932018"/>
    <w:rsid w:val="00957F34"/>
    <w:rsid w:val="009A303A"/>
    <w:rsid w:val="009A6485"/>
    <w:rsid w:val="009B727C"/>
    <w:rsid w:val="00A2687E"/>
    <w:rsid w:val="00A33B7F"/>
    <w:rsid w:val="00A37F6B"/>
    <w:rsid w:val="00AC4BFA"/>
    <w:rsid w:val="00AD0E3B"/>
    <w:rsid w:val="00AD48D3"/>
    <w:rsid w:val="00AE01DC"/>
    <w:rsid w:val="00AF019C"/>
    <w:rsid w:val="00B064BC"/>
    <w:rsid w:val="00BA5694"/>
    <w:rsid w:val="00CB72CA"/>
    <w:rsid w:val="00CD20A1"/>
    <w:rsid w:val="00CE4A55"/>
    <w:rsid w:val="00D04DC9"/>
    <w:rsid w:val="00D3296D"/>
    <w:rsid w:val="00D35CF7"/>
    <w:rsid w:val="00D400A7"/>
    <w:rsid w:val="00D60269"/>
    <w:rsid w:val="00DD4F1B"/>
    <w:rsid w:val="00DF25B4"/>
    <w:rsid w:val="00E03ECC"/>
    <w:rsid w:val="00E051B6"/>
    <w:rsid w:val="00E102C1"/>
    <w:rsid w:val="00E67BAB"/>
    <w:rsid w:val="00E77922"/>
    <w:rsid w:val="00EA2D55"/>
    <w:rsid w:val="00EE6B40"/>
    <w:rsid w:val="00F24EDF"/>
    <w:rsid w:val="00F328BA"/>
    <w:rsid w:val="00F5232A"/>
    <w:rsid w:val="00F64226"/>
    <w:rsid w:val="00FA3A28"/>
    <w:rsid w:val="00FE0DDD"/>
    <w:rsid w:val="5D9754D2"/>
    <w:rsid w:val="6F017A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565"/>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B7565"/>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3B7565"/>
    <w:rPr>
      <w:sz w:val="18"/>
      <w:szCs w:val="18"/>
    </w:rPr>
  </w:style>
  <w:style w:type="paragraph" w:styleId="a4">
    <w:name w:val="header"/>
    <w:basedOn w:val="a"/>
    <w:link w:val="Char0"/>
    <w:uiPriority w:val="99"/>
    <w:rsid w:val="003B75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B7565"/>
    <w:rPr>
      <w:sz w:val="18"/>
      <w:szCs w:val="18"/>
    </w:rPr>
  </w:style>
  <w:style w:type="paragraph" w:styleId="a5">
    <w:name w:val="Normal (Web)"/>
    <w:basedOn w:val="a"/>
    <w:uiPriority w:val="99"/>
    <w:rsid w:val="003B7565"/>
    <w:pPr>
      <w:widowControl/>
      <w:spacing w:before="100" w:beforeAutospacing="1" w:after="100" w:afterAutospacing="1"/>
      <w:jc w:val="left"/>
    </w:pPr>
    <w:rPr>
      <w:rFonts w:ascii="宋体" w:hAnsi="宋体" w:cs="宋体"/>
      <w:kern w:val="0"/>
      <w:sz w:val="24"/>
      <w:szCs w:val="24"/>
    </w:rPr>
  </w:style>
  <w:style w:type="character" w:styleId="a6">
    <w:name w:val="Hyperlink"/>
    <w:basedOn w:val="a0"/>
    <w:uiPriority w:val="99"/>
    <w:semiHidden/>
    <w:rsid w:val="003B7565"/>
    <w:rPr>
      <w:color w:val="0000FF"/>
      <w:u w:val="single"/>
    </w:rPr>
  </w:style>
  <w:style w:type="character" w:customStyle="1" w:styleId="apple-converted-space">
    <w:name w:val="apple-converted-space"/>
    <w:basedOn w:val="a0"/>
    <w:uiPriority w:val="99"/>
    <w:rsid w:val="003B7565"/>
  </w:style>
  <w:style w:type="paragraph" w:customStyle="1" w:styleId="ListParagraph1">
    <w:name w:val="List Paragraph1"/>
    <w:basedOn w:val="a"/>
    <w:uiPriority w:val="99"/>
    <w:rsid w:val="003B7565"/>
    <w:pPr>
      <w:ind w:firstLineChars="200" w:firstLine="420"/>
    </w:pPr>
  </w:style>
  <w:style w:type="paragraph" w:customStyle="1" w:styleId="listparagraph">
    <w:name w:val="listparagraph"/>
    <w:basedOn w:val="a"/>
    <w:uiPriority w:val="99"/>
    <w:rsid w:val="00932018"/>
    <w:pPr>
      <w:widowControl/>
      <w:spacing w:before="100" w:beforeAutospacing="1" w:after="100" w:afterAutospacing="1"/>
      <w:jc w:val="left"/>
    </w:pPr>
    <w:rPr>
      <w:rFonts w:ascii="宋体" w:hAnsi="宋体" w:cs="宋体"/>
      <w:kern w:val="0"/>
      <w:sz w:val="24"/>
      <w:szCs w:val="24"/>
    </w:rPr>
  </w:style>
  <w:style w:type="paragraph" w:styleId="a7">
    <w:name w:val="Balloon Text"/>
    <w:basedOn w:val="a"/>
    <w:link w:val="Char1"/>
    <w:uiPriority w:val="99"/>
    <w:semiHidden/>
    <w:unhideWhenUsed/>
    <w:rsid w:val="00F24EDF"/>
    <w:rPr>
      <w:sz w:val="18"/>
      <w:szCs w:val="18"/>
    </w:rPr>
  </w:style>
  <w:style w:type="character" w:customStyle="1" w:styleId="Char1">
    <w:name w:val="批注框文本 Char"/>
    <w:basedOn w:val="a0"/>
    <w:link w:val="a7"/>
    <w:uiPriority w:val="99"/>
    <w:semiHidden/>
    <w:rsid w:val="00F24EDF"/>
    <w:rPr>
      <w:rFonts w:cs="Calibri"/>
      <w:sz w:val="18"/>
      <w:szCs w:val="18"/>
    </w:rPr>
  </w:style>
</w:styles>
</file>

<file path=word/webSettings.xml><?xml version="1.0" encoding="utf-8"?>
<w:webSettings xmlns:r="http://schemas.openxmlformats.org/officeDocument/2006/relationships" xmlns:w="http://schemas.openxmlformats.org/wordprocessingml/2006/main">
  <w:divs>
    <w:div w:id="1526092897">
      <w:marLeft w:val="0"/>
      <w:marRight w:val="0"/>
      <w:marTop w:val="0"/>
      <w:marBottom w:val="0"/>
      <w:divBdr>
        <w:top w:val="none" w:sz="0" w:space="0" w:color="auto"/>
        <w:left w:val="none" w:sz="0" w:space="0" w:color="auto"/>
        <w:bottom w:val="none" w:sz="0" w:space="0" w:color="auto"/>
        <w:right w:val="none" w:sz="0" w:space="0" w:color="auto"/>
      </w:divBdr>
    </w:div>
    <w:div w:id="1526092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1089</Words>
  <Characters>6212</Characters>
  <Application>Microsoft Office Word</Application>
  <DocSecurity>0</DocSecurity>
  <Lines>51</Lines>
  <Paragraphs>14</Paragraphs>
  <ScaleCrop>false</ScaleCrop>
  <Company/>
  <LinksUpToDate>false</LinksUpToDate>
  <CharactersWithSpaces>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gsx</dc:creator>
  <cp:lastModifiedBy>netuser</cp:lastModifiedBy>
  <cp:revision>4</cp:revision>
  <dcterms:created xsi:type="dcterms:W3CDTF">2016-03-08T00:55:00Z</dcterms:created>
  <dcterms:modified xsi:type="dcterms:W3CDTF">2016-03-08T08:52:00Z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