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b/>
        </w:rPr>
      </w:pPr>
    </w:p>
    <w:tbl>
      <w:tblPr>
        <w:tblStyle w:val="6"/>
        <w:tblW w:w="10682" w:type="dxa"/>
        <w:tblInd w:w="0" w:type="dxa"/>
        <w:tblLayout w:type="fixed"/>
        <w:tblCellMar>
          <w:top w:w="0" w:type="dxa"/>
          <w:left w:w="108" w:type="dxa"/>
          <w:bottom w:w="0" w:type="dxa"/>
          <w:right w:w="108" w:type="dxa"/>
        </w:tblCellMar>
      </w:tblPr>
      <w:tblGrid>
        <w:gridCol w:w="1519"/>
        <w:gridCol w:w="564"/>
        <w:gridCol w:w="566"/>
        <w:gridCol w:w="575"/>
        <w:gridCol w:w="282"/>
        <w:gridCol w:w="852"/>
        <w:gridCol w:w="143"/>
        <w:gridCol w:w="425"/>
        <w:gridCol w:w="417"/>
        <w:gridCol w:w="152"/>
        <w:gridCol w:w="996"/>
        <w:gridCol w:w="284"/>
        <w:gridCol w:w="139"/>
        <w:gridCol w:w="996"/>
        <w:gridCol w:w="6"/>
        <w:gridCol w:w="414"/>
        <w:gridCol w:w="152"/>
        <w:gridCol w:w="993"/>
        <w:gridCol w:w="1207"/>
      </w:tblGrid>
      <w:tr>
        <w:tblPrEx>
          <w:tblLayout w:type="fixed"/>
          <w:tblCellMar>
            <w:top w:w="0" w:type="dxa"/>
            <w:left w:w="108" w:type="dxa"/>
            <w:bottom w:w="0" w:type="dxa"/>
            <w:right w:w="108" w:type="dxa"/>
          </w:tblCellMar>
        </w:tblPrEx>
        <w:trPr>
          <w:trHeight w:val="624" w:hRule="atLeast"/>
        </w:trPr>
        <w:tc>
          <w:tcPr>
            <w:tcW w:w="10682" w:type="dxa"/>
            <w:gridSpan w:val="19"/>
            <w:vMerge w:val="restart"/>
            <w:tcBorders>
              <w:top w:val="nil"/>
              <w:bottom w:val="single" w:color="auto" w:sz="4" w:space="0"/>
            </w:tcBorders>
            <w:shd w:val="clear" w:color="auto" w:fill="auto"/>
            <w:vAlign w:val="center"/>
          </w:tcPr>
          <w:p>
            <w:pPr>
              <w:widowControl/>
              <w:jc w:val="center"/>
              <w:rPr>
                <w:rFonts w:ascii="黑体" w:hAnsi="黑体" w:eastAsia="黑体" w:cs="宋体"/>
                <w:b/>
                <w:bCs/>
                <w:color w:val="000000"/>
                <w:kern w:val="0"/>
                <w:sz w:val="36"/>
                <w:szCs w:val="36"/>
              </w:rPr>
            </w:pPr>
            <w:bookmarkStart w:id="0" w:name="RANGE!A1:K56"/>
            <w:r>
              <w:rPr>
                <w:rFonts w:hint="eastAsia" w:ascii="黑体" w:hAnsi="黑体" w:eastAsia="黑体" w:cs="宋体"/>
                <w:b/>
                <w:bCs/>
                <w:color w:val="000000"/>
                <w:kern w:val="0"/>
                <w:sz w:val="36"/>
                <w:szCs w:val="36"/>
              </w:rPr>
              <w:t>华南理工大学医学院</w:t>
            </w:r>
            <w:r>
              <w:rPr>
                <w:rFonts w:hint="eastAsia" w:ascii="黑体" w:hAnsi="黑体" w:eastAsia="黑体" w:cs="宋体"/>
                <w:b/>
                <w:bCs/>
                <w:color w:val="000000"/>
                <w:kern w:val="0"/>
                <w:sz w:val="36"/>
                <w:szCs w:val="36"/>
              </w:rPr>
              <w:br w:type="textWrapping"/>
            </w:r>
            <w:r>
              <w:rPr>
                <w:rFonts w:hint="eastAsia" w:ascii="黑体" w:hAnsi="黑体" w:eastAsia="黑体" w:cs="宋体"/>
                <w:b/>
                <w:bCs/>
                <w:color w:val="000000"/>
                <w:kern w:val="0"/>
                <w:sz w:val="36"/>
                <w:szCs w:val="36"/>
              </w:rPr>
              <w:t>2016年硕士研究生导师招生信息表</w:t>
            </w:r>
            <w:bookmarkEnd w:id="0"/>
          </w:p>
        </w:tc>
      </w:tr>
      <w:tr>
        <w:tblPrEx>
          <w:tblLayout w:type="fixed"/>
          <w:tblCellMar>
            <w:top w:w="0" w:type="dxa"/>
            <w:left w:w="108" w:type="dxa"/>
            <w:bottom w:w="0" w:type="dxa"/>
            <w:right w:w="108" w:type="dxa"/>
          </w:tblCellMar>
        </w:tblPrEx>
        <w:trPr>
          <w:trHeight w:val="624" w:hRule="atLeast"/>
        </w:trPr>
        <w:tc>
          <w:tcPr>
            <w:tcW w:w="10682" w:type="dxa"/>
            <w:gridSpan w:val="19"/>
            <w:vMerge w:val="continue"/>
            <w:tcBorders>
              <w:top w:val="single" w:color="auto" w:sz="4" w:space="0"/>
              <w:bottom w:val="single" w:color="auto" w:sz="4" w:space="0"/>
            </w:tcBorders>
            <w:vAlign w:val="center"/>
          </w:tcPr>
          <w:p>
            <w:pPr>
              <w:widowControl/>
              <w:jc w:val="left"/>
              <w:rPr>
                <w:rFonts w:ascii="宋体" w:hAnsi="宋体" w:eastAsia="宋体" w:cs="宋体"/>
                <w:b/>
                <w:bCs/>
                <w:color w:val="000000"/>
                <w:kern w:val="0"/>
                <w:sz w:val="32"/>
                <w:szCs w:val="32"/>
              </w:rPr>
            </w:pPr>
          </w:p>
        </w:tc>
      </w:tr>
      <w:tr>
        <w:tblPrEx>
          <w:tblLayout w:type="fixed"/>
          <w:tblCellMar>
            <w:top w:w="0" w:type="dxa"/>
            <w:left w:w="108" w:type="dxa"/>
            <w:bottom w:w="0" w:type="dxa"/>
            <w:right w:w="108" w:type="dxa"/>
          </w:tblCellMar>
        </w:tblPrEx>
        <w:trPr>
          <w:trHeight w:val="624" w:hRule="atLeast"/>
        </w:trPr>
        <w:tc>
          <w:tcPr>
            <w:tcW w:w="10682" w:type="dxa"/>
            <w:gridSpan w:val="19"/>
            <w:vMerge w:val="continue"/>
            <w:tcBorders>
              <w:top w:val="single" w:color="auto" w:sz="4" w:space="0"/>
              <w:bottom w:val="single" w:color="auto" w:sz="4" w:space="0"/>
            </w:tcBorders>
            <w:vAlign w:val="center"/>
          </w:tcPr>
          <w:p>
            <w:pPr>
              <w:widowControl/>
              <w:jc w:val="left"/>
              <w:rPr>
                <w:rFonts w:ascii="宋体" w:hAnsi="宋体" w:eastAsia="宋体" w:cs="宋体"/>
                <w:b/>
                <w:bCs/>
                <w:color w:val="000000"/>
                <w:kern w:val="0"/>
                <w:sz w:val="32"/>
                <w:szCs w:val="32"/>
              </w:rPr>
            </w:pPr>
          </w:p>
        </w:tc>
      </w:tr>
      <w:tr>
        <w:tblPrEx>
          <w:tblLayout w:type="fixed"/>
          <w:tblCellMar>
            <w:top w:w="0" w:type="dxa"/>
            <w:left w:w="108" w:type="dxa"/>
            <w:bottom w:w="0" w:type="dxa"/>
            <w:right w:w="108" w:type="dxa"/>
          </w:tblCellMar>
        </w:tblPrEx>
        <w:trPr>
          <w:trHeight w:val="634" w:hRule="atLeast"/>
        </w:trPr>
        <w:tc>
          <w:tcPr>
            <w:tcW w:w="1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姓名</w:t>
            </w:r>
          </w:p>
        </w:tc>
        <w:tc>
          <w:tcPr>
            <w:tcW w:w="11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李芳红</w:t>
            </w:r>
          </w:p>
        </w:tc>
        <w:tc>
          <w:tcPr>
            <w:tcW w:w="857"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性别</w:t>
            </w:r>
          </w:p>
        </w:tc>
        <w:tc>
          <w:tcPr>
            <w:tcW w:w="1837" w:type="dxa"/>
            <w:gridSpan w:val="4"/>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女</w:t>
            </w:r>
          </w:p>
        </w:tc>
        <w:tc>
          <w:tcPr>
            <w:tcW w:w="11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出生年月</w:t>
            </w:r>
          </w:p>
        </w:tc>
        <w:tc>
          <w:tcPr>
            <w:tcW w:w="19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1966.11.19</w:t>
            </w:r>
          </w:p>
        </w:tc>
        <w:tc>
          <w:tcPr>
            <w:tcW w:w="2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照片</w:t>
            </w:r>
          </w:p>
        </w:tc>
      </w:tr>
      <w:tr>
        <w:tblPrEx>
          <w:tblLayout w:type="fixed"/>
          <w:tblCellMar>
            <w:top w:w="0" w:type="dxa"/>
            <w:left w:w="108" w:type="dxa"/>
            <w:bottom w:w="0" w:type="dxa"/>
            <w:right w:w="108" w:type="dxa"/>
          </w:tblCellMar>
        </w:tblPrEx>
        <w:trPr>
          <w:trHeight w:val="997" w:hRule="atLeast"/>
        </w:trPr>
        <w:tc>
          <w:tcPr>
            <w:tcW w:w="1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专业技术职称、定级时间</w:t>
            </w:r>
          </w:p>
        </w:tc>
        <w:tc>
          <w:tcPr>
            <w:tcW w:w="11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教授</w:t>
            </w:r>
          </w:p>
        </w:tc>
        <w:tc>
          <w:tcPr>
            <w:tcW w:w="857"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现任职务</w:t>
            </w:r>
          </w:p>
        </w:tc>
        <w:tc>
          <w:tcPr>
            <w:tcW w:w="183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tc>
        <w:tc>
          <w:tcPr>
            <w:tcW w:w="11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工作单位</w:t>
            </w:r>
          </w:p>
        </w:tc>
        <w:tc>
          <w:tcPr>
            <w:tcW w:w="19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华南理工大学医学院</w:t>
            </w: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最后学位及</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获得时间</w:t>
            </w:r>
          </w:p>
        </w:tc>
        <w:tc>
          <w:tcPr>
            <w:tcW w:w="198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医学博士</w:t>
            </w:r>
          </w:p>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2010</w:t>
            </w:r>
          </w:p>
        </w:tc>
        <w:tc>
          <w:tcPr>
            <w:tcW w:w="1420"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获最高学位学校名称及获得时间</w:t>
            </w:r>
          </w:p>
          <w:p>
            <w:pPr>
              <w:widowControl/>
              <w:jc w:val="center"/>
              <w:rPr>
                <w:rFonts w:ascii="宋体" w:hAnsi="宋体" w:eastAsia="宋体" w:cs="宋体"/>
                <w:b/>
                <w:color w:val="000000"/>
                <w:kern w:val="0"/>
                <w:sz w:val="22"/>
              </w:rPr>
            </w:pPr>
          </w:p>
        </w:tc>
        <w:tc>
          <w:tcPr>
            <w:tcW w:w="3556" w:type="dxa"/>
            <w:gridSpan w:val="9"/>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美国Saint Barnabas 医学中心</w:t>
            </w: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20"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3556" w:type="dxa"/>
            <w:gridSpan w:val="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20"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3556" w:type="dxa"/>
            <w:gridSpan w:val="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招生专业</w:t>
            </w:r>
          </w:p>
        </w:tc>
        <w:tc>
          <w:tcPr>
            <w:tcW w:w="198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病理学</w:t>
            </w:r>
          </w:p>
        </w:tc>
        <w:tc>
          <w:tcPr>
            <w:tcW w:w="1420"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联系电话</w:t>
            </w:r>
          </w:p>
        </w:tc>
        <w:tc>
          <w:tcPr>
            <w:tcW w:w="1849"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18027330798</w:t>
            </w:r>
          </w:p>
        </w:tc>
        <w:tc>
          <w:tcPr>
            <w:tcW w:w="1141"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电子邮箱</w:t>
            </w:r>
          </w:p>
        </w:tc>
        <w:tc>
          <w:tcPr>
            <w:tcW w:w="276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line="420" w:lineRule="atLeast"/>
              <w:rPr>
                <w:rStyle w:val="5"/>
                <w:rFonts w:hint="eastAsia" w:eastAsiaTheme="minorEastAsia"/>
                <w:b/>
                <w:lang w:val="en-US" w:eastAsia="zh-CN"/>
              </w:rPr>
            </w:pPr>
            <w:r>
              <w:rPr>
                <w:rStyle w:val="5"/>
                <w:rFonts w:hint="eastAsia"/>
                <w:b/>
                <w:lang w:val="en-US" w:eastAsia="zh-CN"/>
              </w:rPr>
              <w:t>Lifanghong2006@yahoo.com</w:t>
            </w:r>
          </w:p>
        </w:tc>
      </w:tr>
      <w:tr>
        <w:tblPrEx>
          <w:tblLayout w:type="fixed"/>
          <w:tblCellMar>
            <w:top w:w="0" w:type="dxa"/>
            <w:left w:w="108" w:type="dxa"/>
            <w:bottom w:w="0" w:type="dxa"/>
            <w:right w:w="108" w:type="dxa"/>
          </w:tblCellMar>
        </w:tblPrEx>
        <w:trPr>
          <w:trHeight w:val="334"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20"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84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141"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766"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所在单位、院系</w:t>
            </w:r>
          </w:p>
        </w:tc>
        <w:tc>
          <w:tcPr>
            <w:tcW w:w="8599" w:type="dxa"/>
            <w:gridSpan w:val="1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医学院</w:t>
            </w:r>
          </w:p>
        </w:tc>
      </w:tr>
      <w:tr>
        <w:tblPrEx>
          <w:tblLayout w:type="fixed"/>
          <w:tblCellMar>
            <w:top w:w="0" w:type="dxa"/>
            <w:left w:w="108" w:type="dxa"/>
            <w:bottom w:w="0" w:type="dxa"/>
            <w:right w:w="108" w:type="dxa"/>
          </w:tblCellMar>
        </w:tblPrEx>
        <w:trPr>
          <w:trHeight w:val="536"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学科、专业名称</w:t>
            </w:r>
          </w:p>
        </w:tc>
        <w:tc>
          <w:tcPr>
            <w:tcW w:w="8599" w:type="dxa"/>
            <w:gridSpan w:val="1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病理学</w:t>
            </w:r>
          </w:p>
        </w:tc>
      </w:tr>
      <w:tr>
        <w:tblPrEx>
          <w:tblLayout w:type="fixed"/>
          <w:tblCellMar>
            <w:top w:w="0" w:type="dxa"/>
            <w:left w:w="108" w:type="dxa"/>
            <w:bottom w:w="0" w:type="dxa"/>
            <w:right w:w="108" w:type="dxa"/>
          </w:tblCellMar>
        </w:tblPrEx>
        <w:trPr>
          <w:trHeight w:val="435"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465" w:hRule="atLeast"/>
        </w:trPr>
        <w:tc>
          <w:tcPr>
            <w:tcW w:w="2083"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本年度拟招生人数</w:t>
            </w:r>
          </w:p>
        </w:tc>
        <w:tc>
          <w:tcPr>
            <w:tcW w:w="11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博士生</w:t>
            </w:r>
          </w:p>
        </w:tc>
        <w:tc>
          <w:tcPr>
            <w:tcW w:w="227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硕士生</w:t>
            </w:r>
          </w:p>
        </w:tc>
        <w:tc>
          <w:tcPr>
            <w:tcW w:w="128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境外研究生</w:t>
            </w:r>
          </w:p>
        </w:tc>
        <w:tc>
          <w:tcPr>
            <w:tcW w:w="1135"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港澳台</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研究生</w:t>
            </w:r>
          </w:p>
        </w:tc>
        <w:tc>
          <w:tcPr>
            <w:tcW w:w="1565" w:type="dxa"/>
            <w:gridSpan w:val="4"/>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非全日制硕士</w:t>
            </w:r>
          </w:p>
        </w:tc>
        <w:tc>
          <w:tcPr>
            <w:tcW w:w="120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合计</w:t>
            </w:r>
          </w:p>
        </w:tc>
      </w:tr>
      <w:tr>
        <w:tblPrEx>
          <w:tblLayout w:type="fixed"/>
          <w:tblCellMar>
            <w:top w:w="0" w:type="dxa"/>
            <w:left w:w="108" w:type="dxa"/>
            <w:bottom w:w="0" w:type="dxa"/>
            <w:right w:w="108" w:type="dxa"/>
          </w:tblCellMar>
        </w:tblPrEx>
        <w:trPr>
          <w:trHeight w:val="465" w:hRule="atLeast"/>
        </w:trPr>
        <w:tc>
          <w:tcPr>
            <w:tcW w:w="208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b/>
                <w:color w:val="000000"/>
                <w:kern w:val="0"/>
                <w:sz w:val="22"/>
              </w:rPr>
            </w:pPr>
          </w:p>
        </w:tc>
        <w:tc>
          <w:tcPr>
            <w:tcW w:w="11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学术型</w:t>
            </w:r>
          </w:p>
        </w:tc>
        <w:tc>
          <w:tcPr>
            <w:tcW w:w="1137"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专业型</w:t>
            </w:r>
          </w:p>
        </w:tc>
        <w:tc>
          <w:tcPr>
            <w:tcW w:w="1280"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b/>
                <w:color w:val="000000"/>
                <w:kern w:val="0"/>
                <w:sz w:val="22"/>
              </w:rPr>
            </w:pPr>
          </w:p>
        </w:tc>
        <w:tc>
          <w:tcPr>
            <w:tcW w:w="113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b/>
                <w:color w:val="000000"/>
                <w:kern w:val="0"/>
                <w:sz w:val="22"/>
              </w:rPr>
            </w:pPr>
          </w:p>
        </w:tc>
        <w:tc>
          <w:tcPr>
            <w:tcW w:w="1565" w:type="dxa"/>
            <w:gridSpan w:val="4"/>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b/>
                <w:color w:val="000000"/>
                <w:kern w:val="0"/>
                <w:sz w:val="22"/>
              </w:rPr>
            </w:pPr>
          </w:p>
        </w:tc>
        <w:tc>
          <w:tcPr>
            <w:tcW w:w="1207"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823" w:hRule="atLeast"/>
        </w:trPr>
        <w:tc>
          <w:tcPr>
            <w:tcW w:w="208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b/>
                <w:color w:val="000000"/>
                <w:kern w:val="0"/>
                <w:sz w:val="22"/>
              </w:rPr>
            </w:pP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2</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2</w:t>
            </w:r>
          </w:p>
        </w:tc>
        <w:tc>
          <w:tcPr>
            <w:tcW w:w="1137"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tc>
        <w:tc>
          <w:tcPr>
            <w:tcW w:w="12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tc>
        <w:tc>
          <w:tcPr>
            <w:tcW w:w="113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tc>
        <w:tc>
          <w:tcPr>
            <w:tcW w:w="1565"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color w:val="000000"/>
                <w:kern w:val="0"/>
                <w:sz w:val="22"/>
                <w:lang w:val="en-US" w:eastAsia="zh-CN"/>
              </w:rPr>
            </w:pPr>
            <w:r>
              <w:rPr>
                <w:rFonts w:hint="eastAsia" w:ascii="宋体" w:hAnsi="宋体" w:eastAsia="宋体" w:cs="宋体"/>
                <w:b/>
                <w:color w:val="000000"/>
                <w:kern w:val="0"/>
                <w:sz w:val="22"/>
                <w:lang w:val="en-US" w:eastAsia="zh-CN"/>
              </w:rPr>
              <w:t>4</w:t>
            </w: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本人主要研究方向</w:t>
            </w:r>
          </w:p>
          <w:p>
            <w:pPr>
              <w:widowControl/>
              <w:jc w:val="center"/>
              <w:rPr>
                <w:rFonts w:ascii="宋体" w:hAnsi="宋体" w:eastAsia="宋体" w:cs="宋体"/>
                <w:b/>
                <w:color w:val="000000"/>
                <w:kern w:val="0"/>
                <w:sz w:val="22"/>
              </w:rPr>
            </w:pPr>
          </w:p>
        </w:tc>
        <w:tc>
          <w:tcPr>
            <w:tcW w:w="8599" w:type="dxa"/>
            <w:gridSpan w:val="1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1"/>
              </w:numPr>
              <w:spacing w:line="360" w:lineRule="auto"/>
              <w:ind w:right="1080" w:firstLine="331"/>
              <w:jc w:val="both"/>
              <w:rPr>
                <w:rFonts w:hint="eastAsia" w:ascii="宋体" w:hAnsi="宋体"/>
                <w:color w:val="000000"/>
                <w:lang w:eastAsia="zh-CN"/>
              </w:rPr>
            </w:pPr>
            <w:r>
              <w:rPr>
                <w:rFonts w:hint="eastAsia" w:ascii="宋体" w:hAnsi="宋体"/>
                <w:color w:val="000000"/>
                <w:lang w:eastAsia="zh-CN"/>
              </w:rPr>
              <w:t>脂联素</w:t>
            </w:r>
            <w:r>
              <w:rPr>
                <w:rFonts w:hint="eastAsia" w:ascii="宋体" w:hAnsi="宋体"/>
                <w:color w:val="000000"/>
                <w:lang w:val="en-US" w:eastAsia="zh-CN"/>
              </w:rPr>
              <w:t>与</w:t>
            </w:r>
            <w:r>
              <w:rPr>
                <w:rFonts w:hint="eastAsia" w:ascii="宋体" w:hAnsi="宋体"/>
                <w:color w:val="000000"/>
                <w:lang w:eastAsia="zh-CN"/>
              </w:rPr>
              <w:t>子宫内膜癌</w:t>
            </w:r>
            <w:r>
              <w:rPr>
                <w:rFonts w:hint="eastAsia" w:ascii="宋体" w:hAnsi="宋体"/>
                <w:color w:val="000000"/>
                <w:lang w:val="en-US" w:eastAsia="zh-CN"/>
              </w:rPr>
              <w:t>发生发展的在体研究</w:t>
            </w:r>
            <w:r>
              <w:rPr>
                <w:rFonts w:hint="eastAsia" w:ascii="宋体" w:hAnsi="宋体"/>
                <w:color w:val="000000"/>
                <w:lang w:eastAsia="zh-CN"/>
              </w:rPr>
              <w:t>。</w:t>
            </w:r>
          </w:p>
          <w:p>
            <w:pPr>
              <w:numPr>
                <w:ilvl w:val="0"/>
                <w:numId w:val="1"/>
              </w:numPr>
              <w:spacing w:line="360" w:lineRule="auto"/>
              <w:ind w:right="1080" w:firstLine="331"/>
              <w:jc w:val="both"/>
              <w:rPr>
                <w:rFonts w:hint="eastAsia" w:ascii="宋体" w:hAnsi="宋体"/>
                <w:color w:val="000000"/>
                <w:lang w:eastAsia="zh-CN"/>
              </w:rPr>
            </w:pPr>
            <w:r>
              <w:rPr>
                <w:rFonts w:hint="eastAsia" w:ascii="宋体" w:hAnsi="宋体"/>
                <w:color w:val="000000"/>
                <w:lang w:eastAsia="zh-CN"/>
              </w:rPr>
              <w:t>脂联素缺失</w:t>
            </w:r>
            <w:r>
              <w:rPr>
                <w:rFonts w:hint="eastAsia" w:ascii="宋体" w:hAnsi="宋体"/>
                <w:color w:val="000000"/>
                <w:lang w:val="en-US" w:eastAsia="zh-CN"/>
              </w:rPr>
              <w:t>致性激素失调和卵巢功能障碍的研究</w:t>
            </w:r>
            <w:r>
              <w:rPr>
                <w:rFonts w:hint="eastAsia" w:ascii="宋体" w:hAnsi="宋体"/>
                <w:color w:val="000000"/>
                <w:lang w:eastAsia="zh-CN"/>
              </w:rPr>
              <w:t>。</w:t>
            </w:r>
          </w:p>
          <w:p>
            <w:pPr>
              <w:numPr>
                <w:ilvl w:val="0"/>
                <w:numId w:val="1"/>
              </w:numPr>
              <w:spacing w:line="360" w:lineRule="auto"/>
              <w:ind w:right="1080" w:firstLine="331"/>
              <w:jc w:val="both"/>
              <w:rPr>
                <w:rFonts w:hint="eastAsia" w:ascii="宋体" w:hAnsi="宋体"/>
                <w:color w:val="000000"/>
                <w:lang w:eastAsia="zh-CN"/>
              </w:rPr>
            </w:pPr>
            <w:r>
              <w:rPr>
                <w:rFonts w:hint="eastAsia" w:ascii="宋体" w:hAnsi="宋体"/>
                <w:color w:val="000000"/>
                <w:lang w:val="en-US" w:eastAsia="zh-CN"/>
              </w:rPr>
              <w:t xml:space="preserve">FKBP38与妇科肿瘤。 </w:t>
            </w:r>
          </w:p>
          <w:p>
            <w:pPr>
              <w:numPr>
                <w:ilvl w:val="0"/>
                <w:numId w:val="1"/>
              </w:numPr>
              <w:spacing w:line="360" w:lineRule="auto"/>
              <w:ind w:right="1080" w:firstLine="331"/>
              <w:jc w:val="both"/>
              <w:rPr>
                <w:rFonts w:hint="eastAsia" w:ascii="宋体" w:hAnsi="宋体"/>
                <w:color w:val="000000"/>
                <w:lang w:eastAsia="zh-CN"/>
              </w:rPr>
            </w:pPr>
            <w:r>
              <w:rPr>
                <w:rFonts w:hint="eastAsia" w:ascii="宋体" w:hAnsi="宋体"/>
                <w:color w:val="000000"/>
                <w:lang w:eastAsia="zh-CN"/>
              </w:rPr>
              <w:t xml:space="preserve">输卵管原位癌诊断标准的探讨。  </w:t>
            </w:r>
          </w:p>
          <w:p>
            <w:pPr>
              <w:widowControl w:val="0"/>
              <w:numPr>
                <w:ilvl w:val="0"/>
                <w:numId w:val="0"/>
              </w:numPr>
              <w:spacing w:line="360" w:lineRule="auto"/>
              <w:ind w:right="1080" w:rightChars="0"/>
              <w:jc w:val="both"/>
              <w:rPr>
                <w:rFonts w:hint="eastAsia" w:ascii="宋体" w:hAnsi="宋体"/>
                <w:color w:val="000000"/>
                <w:lang w:eastAsia="zh-CN"/>
              </w:rPr>
            </w:pPr>
          </w:p>
          <w:p>
            <w:pPr>
              <w:widowControl w:val="0"/>
              <w:numPr>
                <w:ilvl w:val="0"/>
                <w:numId w:val="0"/>
              </w:numPr>
              <w:spacing w:line="360" w:lineRule="auto"/>
              <w:ind w:right="1080" w:rightChars="0"/>
              <w:jc w:val="both"/>
              <w:rPr>
                <w:rFonts w:hint="eastAsia" w:ascii="宋体" w:hAnsi="宋体"/>
                <w:color w:val="000000"/>
                <w:lang w:eastAsia="zh-CN"/>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2049"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招生方向及</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对考生要求</w:t>
            </w:r>
          </w:p>
          <w:p>
            <w:pPr>
              <w:widowControl/>
              <w:jc w:val="center"/>
              <w:rPr>
                <w:rFonts w:ascii="宋体" w:hAnsi="宋体" w:eastAsia="宋体" w:cs="宋体"/>
                <w:b/>
                <w:color w:val="000000"/>
                <w:kern w:val="0"/>
                <w:sz w:val="22"/>
              </w:rPr>
            </w:pPr>
          </w:p>
        </w:tc>
        <w:tc>
          <w:tcPr>
            <w:tcW w:w="8599" w:type="dxa"/>
            <w:gridSpan w:val="17"/>
            <w:vMerge w:val="restart"/>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b/>
                <w:color w:val="000000"/>
                <w:kern w:val="0"/>
                <w:sz w:val="22"/>
              </w:rPr>
            </w:pPr>
          </w:p>
          <w:p>
            <w:pPr>
              <w:widowControl/>
              <w:numPr>
                <w:ilvl w:val="0"/>
                <w:numId w:val="2"/>
              </w:numPr>
              <w:jc w:val="both"/>
              <w:rPr>
                <w:rFonts w:hint="eastAsia" w:ascii="宋体" w:hAnsi="宋体" w:eastAsia="宋体" w:cs="宋体"/>
                <w:b w:val="0"/>
                <w:bCs/>
                <w:color w:val="000000"/>
                <w:kern w:val="0"/>
                <w:sz w:val="22"/>
                <w:lang w:val="en-US" w:eastAsia="zh-CN"/>
              </w:rPr>
            </w:pPr>
            <w:r>
              <w:rPr>
                <w:rFonts w:hint="eastAsia" w:ascii="宋体" w:hAnsi="宋体" w:eastAsia="宋体" w:cs="宋体"/>
                <w:b w:val="0"/>
                <w:bCs/>
                <w:color w:val="000000"/>
                <w:kern w:val="0"/>
                <w:sz w:val="22"/>
                <w:lang w:val="en-US" w:eastAsia="zh-CN"/>
              </w:rPr>
              <w:t>肿瘤病理</w:t>
            </w:r>
          </w:p>
          <w:p>
            <w:pPr>
              <w:widowControl/>
              <w:numPr>
                <w:ilvl w:val="0"/>
                <w:numId w:val="2"/>
              </w:numPr>
              <w:jc w:val="both"/>
              <w:rPr>
                <w:rFonts w:hint="eastAsia" w:ascii="宋体" w:hAnsi="宋体" w:eastAsia="宋体" w:cs="宋体"/>
                <w:b w:val="0"/>
                <w:bCs/>
                <w:color w:val="000000"/>
                <w:kern w:val="0"/>
                <w:sz w:val="22"/>
                <w:lang w:val="en-US" w:eastAsia="zh-CN"/>
              </w:rPr>
            </w:pPr>
            <w:r>
              <w:rPr>
                <w:rFonts w:hint="eastAsia" w:ascii="宋体" w:hAnsi="宋体" w:eastAsia="宋体" w:cs="宋体"/>
                <w:b w:val="0"/>
                <w:bCs/>
                <w:color w:val="000000"/>
                <w:kern w:val="0"/>
                <w:sz w:val="22"/>
                <w:lang w:val="en-US" w:eastAsia="zh-CN"/>
              </w:rPr>
              <w:t>分子病理</w:t>
            </w:r>
          </w:p>
          <w:p>
            <w:pPr>
              <w:widowControl/>
              <w:numPr>
                <w:numId w:val="0"/>
              </w:numPr>
              <w:jc w:val="both"/>
              <w:rPr>
                <w:rFonts w:hint="eastAsia" w:ascii="宋体" w:hAnsi="宋体" w:eastAsia="宋体" w:cs="宋体"/>
                <w:b w:val="0"/>
                <w:bCs/>
                <w:color w:val="000000"/>
                <w:kern w:val="0"/>
                <w:sz w:val="22"/>
                <w:lang w:val="en-US" w:eastAsia="zh-CN"/>
              </w:rPr>
            </w:pPr>
          </w:p>
          <w:p>
            <w:pPr>
              <w:widowControl/>
              <w:numPr>
                <w:numId w:val="0"/>
              </w:numPr>
              <w:jc w:val="both"/>
              <w:rPr>
                <w:rFonts w:hint="eastAsia" w:ascii="宋体" w:hAnsi="宋体" w:eastAsia="宋体" w:cs="宋体"/>
                <w:b w:val="0"/>
                <w:bCs/>
                <w:color w:val="000000"/>
                <w:kern w:val="0"/>
                <w:sz w:val="22"/>
                <w:lang w:val="en-US" w:eastAsia="zh-CN"/>
              </w:rPr>
            </w:pPr>
            <w:r>
              <w:rPr>
                <w:rFonts w:hint="eastAsia" w:ascii="宋体" w:hAnsi="宋体" w:eastAsia="宋体" w:cs="宋体"/>
                <w:b w:val="0"/>
                <w:bCs/>
                <w:color w:val="000000"/>
                <w:kern w:val="0"/>
                <w:sz w:val="22"/>
                <w:lang w:val="en-US" w:eastAsia="zh-CN"/>
              </w:rPr>
              <w:t>对考生</w:t>
            </w:r>
            <w:bookmarkStart w:id="1" w:name="_GoBack"/>
            <w:bookmarkEnd w:id="1"/>
            <w:r>
              <w:rPr>
                <w:rFonts w:hint="eastAsia" w:ascii="宋体" w:hAnsi="宋体" w:eastAsia="宋体" w:cs="宋体"/>
                <w:b w:val="0"/>
                <w:bCs/>
                <w:color w:val="000000"/>
                <w:kern w:val="0"/>
                <w:sz w:val="22"/>
                <w:lang w:val="en-US" w:eastAsia="zh-CN"/>
              </w:rPr>
              <w:t>要求：本科为临床医学专业。</w:t>
            </w:r>
          </w:p>
          <w:p>
            <w:pPr>
              <w:widowControl/>
              <w:numPr>
                <w:numId w:val="0"/>
              </w:numPr>
              <w:jc w:val="both"/>
              <w:rPr>
                <w:rFonts w:hint="eastAsia" w:ascii="宋体" w:hAnsi="宋体" w:eastAsia="宋体" w:cs="宋体"/>
                <w:b w:val="0"/>
                <w:bCs/>
                <w:color w:val="000000"/>
                <w:kern w:val="0"/>
                <w:sz w:val="22"/>
                <w:lang w:val="en-US" w:eastAsia="zh-CN"/>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hint="eastAsia" w:ascii="宋体" w:hAnsi="宋体" w:eastAsia="宋体" w:cs="宋体"/>
                <w:b/>
                <w:color w:val="000000"/>
                <w:kern w:val="0"/>
                <w:sz w:val="22"/>
              </w:rPr>
            </w:pPr>
          </w:p>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1005"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个人简历</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（300字）</w:t>
            </w:r>
          </w:p>
          <w:p>
            <w:pPr>
              <w:widowControl/>
              <w:jc w:val="center"/>
              <w:rPr>
                <w:rFonts w:ascii="宋体" w:hAnsi="宋体" w:eastAsia="宋体" w:cs="宋体"/>
                <w:b/>
                <w:color w:val="000000"/>
                <w:kern w:val="0"/>
                <w:sz w:val="22"/>
              </w:rPr>
            </w:pPr>
          </w:p>
        </w:tc>
        <w:tc>
          <w:tcPr>
            <w:tcW w:w="8599" w:type="dxa"/>
            <w:gridSpan w:val="1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pacing w:line="360" w:lineRule="auto"/>
              <w:ind w:right="1080" w:firstLine="567"/>
              <w:rPr>
                <w:rFonts w:ascii="宋体" w:cs="宋体"/>
                <w:lang w:eastAsia="zh-CN"/>
              </w:rPr>
            </w:pPr>
            <w:r>
              <w:rPr>
                <w:rFonts w:hint="eastAsia" w:ascii="宋体" w:hAnsi="宋体"/>
                <w:color w:val="000000"/>
                <w:lang w:eastAsia="zh-CN"/>
              </w:rPr>
              <w:t>李芳红教授目前是</w:t>
            </w:r>
            <w:r>
              <w:rPr>
                <w:rFonts w:hint="eastAsia" w:ascii="宋体" w:hAnsi="宋体"/>
                <w:color w:val="000000"/>
                <w:lang w:val="en-US" w:eastAsia="zh-CN"/>
              </w:rPr>
              <w:t>华南理工大学医学院</w:t>
            </w:r>
            <w:r>
              <w:rPr>
                <w:rFonts w:hint="eastAsia" w:ascii="宋体" w:hAnsi="宋体"/>
                <w:color w:val="000000"/>
                <w:lang w:eastAsia="zh-CN"/>
              </w:rPr>
              <w:t>教授，博士导师。</w:t>
            </w:r>
            <w:r>
              <w:rPr>
                <w:rFonts w:hint="eastAsia" w:ascii="宋体"/>
                <w:b/>
                <w:bCs/>
                <w:sz w:val="28"/>
                <w:lang w:eastAsia="zh-CN"/>
              </w:rPr>
              <w:t xml:space="preserve"> </w:t>
            </w:r>
            <w:r>
              <w:rPr>
                <w:rFonts w:hint="eastAsia" w:ascii="宋体"/>
                <w:bCs/>
                <w:lang w:eastAsia="zh-CN"/>
              </w:rPr>
              <w:t>第十批“千人计划”国家特聘专家</w:t>
            </w:r>
            <w:r>
              <w:rPr>
                <w:rFonts w:hint="eastAsia" w:ascii="宋体" w:hAnsi="宋体"/>
                <w:color w:val="000000"/>
                <w:lang w:eastAsia="zh-CN"/>
              </w:rPr>
              <w:t>，</w:t>
            </w:r>
            <w:r>
              <w:rPr>
                <w:rFonts w:ascii="宋体" w:hAnsi="宋体"/>
                <w:color w:val="000000"/>
                <w:lang w:eastAsia="zh-CN"/>
              </w:rPr>
              <w:t>201</w:t>
            </w:r>
            <w:r>
              <w:rPr>
                <w:rFonts w:hint="eastAsia" w:ascii="宋体" w:hAnsi="宋体"/>
                <w:color w:val="000000"/>
                <w:lang w:eastAsia="zh-CN"/>
              </w:rPr>
              <w:t>2年江苏省高层次创新人才。</w:t>
            </w:r>
            <w:r>
              <w:rPr>
                <w:rFonts w:hint="eastAsia" w:ascii="宋体" w:hAnsi="宋体"/>
                <w:color w:val="000000"/>
                <w:lang w:val="en-US" w:eastAsia="zh-CN"/>
              </w:rPr>
              <w:t>具有</w:t>
            </w:r>
            <w:r>
              <w:rPr>
                <w:rFonts w:hint="eastAsia" w:ascii="宋体" w:hAnsi="宋体" w:cs="宋体"/>
                <w:lang w:eastAsia="zh-CN"/>
              </w:rPr>
              <w:t>美国病理医师资格</w:t>
            </w:r>
            <w:r>
              <w:rPr>
                <w:rFonts w:hint="eastAsia" w:ascii="宋体" w:hAnsi="宋体" w:cs="宋体"/>
                <w:lang w:val="en-US" w:eastAsia="zh-CN"/>
              </w:rPr>
              <w:t>和</w:t>
            </w:r>
            <w:r>
              <w:rPr>
                <w:rFonts w:hint="eastAsia" w:ascii="宋体" w:hAnsi="宋体" w:cs="宋体"/>
                <w:lang w:eastAsia="zh-CN"/>
              </w:rPr>
              <w:t>行医执照，</w:t>
            </w:r>
            <w:r>
              <w:rPr>
                <w:rFonts w:hint="eastAsia" w:ascii="宋体" w:hAnsi="宋体" w:cs="宋体"/>
                <w:lang w:val="en-US" w:eastAsia="zh-CN"/>
              </w:rPr>
              <w:t>妇科病理专科</w:t>
            </w:r>
            <w:r>
              <w:rPr>
                <w:rFonts w:hint="eastAsia" w:ascii="宋体" w:hAnsi="宋体" w:cs="宋体"/>
                <w:lang w:eastAsia="zh-CN"/>
              </w:rPr>
              <w:t>。</w:t>
            </w:r>
          </w:p>
          <w:p>
            <w:pPr>
              <w:spacing w:line="360" w:lineRule="auto"/>
              <w:ind w:left="-122" w:right="1080"/>
              <w:rPr>
                <w:rFonts w:ascii="宋体" w:cs="宋体"/>
                <w:lang w:eastAsia="zh-CN"/>
              </w:rPr>
            </w:pPr>
            <w:r>
              <w:rPr>
                <w:rFonts w:ascii="宋体" w:hAnsi="宋体" w:cs="宋体"/>
                <w:lang w:eastAsia="zh-CN"/>
              </w:rPr>
              <w:t xml:space="preserve">    </w:t>
            </w:r>
            <w:r>
              <w:rPr>
                <w:rFonts w:hint="eastAsia" w:ascii="宋体" w:hAnsi="宋体"/>
                <w:color w:val="000000"/>
                <w:lang w:eastAsia="zh-CN"/>
              </w:rPr>
              <w:t>李教授多年来从事肥胖、糖尿病和癌症的分子机制和药物开发研究以及病理诊断的标准化研究。</w:t>
            </w:r>
            <w:r>
              <w:rPr>
                <w:rFonts w:ascii="宋体" w:hAnsi="宋体" w:cs="宋体"/>
                <w:lang w:eastAsia="zh-CN"/>
              </w:rPr>
              <w:t xml:space="preserve"> </w:t>
            </w:r>
            <w:r>
              <w:rPr>
                <w:rFonts w:hint="eastAsia" w:ascii="宋体" w:hAnsi="宋体" w:cs="宋体"/>
              </w:rPr>
              <w:t>以第一作者的身份，在一系列高影响因子的专业杂志上相继发表了多篇文章，如</w:t>
            </w:r>
            <w:r>
              <w:rPr>
                <w:rFonts w:ascii="宋体" w:hAnsi="宋体" w:cs="宋体"/>
              </w:rPr>
              <w:t xml:space="preserve"> </w:t>
            </w:r>
            <w:r>
              <w:rPr>
                <w:rFonts w:ascii="宋体" w:hAnsi="宋体"/>
                <w:i/>
              </w:rPr>
              <w:t>Nature Medicine,</w:t>
            </w:r>
            <w:r>
              <w:rPr>
                <w:rFonts w:hint="eastAsia" w:ascii="宋体" w:hAnsi="宋体"/>
                <w:i/>
                <w:lang w:eastAsia="zh-CN"/>
              </w:rPr>
              <w:t xml:space="preserve"> </w:t>
            </w:r>
            <w:r>
              <w:rPr>
                <w:rFonts w:ascii="宋体" w:hAnsi="宋体"/>
                <w:i/>
                <w:lang w:eastAsia="zh-CN"/>
              </w:rPr>
              <w:t xml:space="preserve">American Journal of Surgical Pathology, </w:t>
            </w:r>
            <w:r>
              <w:rPr>
                <w:rFonts w:ascii="宋体" w:hAnsi="宋体"/>
                <w:i/>
              </w:rPr>
              <w:t>American Journal of Physiology,  Journal of Biological Chemistry, Journal of Bone and Mineral Research</w:t>
            </w:r>
            <w:r>
              <w:rPr>
                <w:rFonts w:hint="eastAsia" w:ascii="宋体" w:hAnsi="宋体"/>
                <w:i/>
              </w:rPr>
              <w:t>，</w:t>
            </w:r>
            <w:r>
              <w:rPr>
                <w:rFonts w:ascii="宋体" w:hAnsi="宋体"/>
                <w:i/>
              </w:rPr>
              <w:t>International Journal of Surgical Pathology</w:t>
            </w:r>
            <w:r>
              <w:rPr>
                <w:rFonts w:ascii="宋体" w:hAnsi="宋体"/>
              </w:rPr>
              <w:t xml:space="preserve"> </w:t>
            </w:r>
            <w:r>
              <w:rPr>
                <w:rFonts w:hint="eastAsia" w:ascii="宋体" w:hAnsi="宋体" w:cs="宋体"/>
              </w:rPr>
              <w:t>等。</w:t>
            </w:r>
            <w:r>
              <w:rPr>
                <w:rFonts w:hint="eastAsia" w:ascii="宋体" w:hAnsi="宋体"/>
                <w:bCs/>
              </w:rPr>
              <w:t xml:space="preserve"> </w:t>
            </w:r>
            <w:r>
              <w:rPr>
                <w:rFonts w:hint="eastAsia" w:ascii="宋体" w:hAnsi="宋体"/>
                <w:bCs/>
                <w:lang w:eastAsia="zh-CN"/>
              </w:rPr>
              <w:t>现有</w:t>
            </w:r>
            <w:r>
              <w:rPr>
                <w:rFonts w:hint="eastAsia" w:ascii="宋体" w:hAnsi="宋体"/>
                <w:bCs/>
                <w:lang w:val="en-US" w:eastAsia="zh-CN"/>
              </w:rPr>
              <w:t>两</w:t>
            </w:r>
            <w:r>
              <w:rPr>
                <w:rFonts w:hint="eastAsia" w:ascii="宋体" w:hAnsi="宋体"/>
                <w:bCs/>
                <w:lang w:eastAsia="zh-CN"/>
              </w:rPr>
              <w:t>项专利。</w:t>
            </w:r>
          </w:p>
          <w:p>
            <w:pPr>
              <w:widowControl/>
              <w:jc w:val="both"/>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1005"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1005"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8599" w:type="dxa"/>
            <w:gridSpan w:val="17"/>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近三年承担</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的主要科研项目</w:t>
            </w:r>
          </w:p>
        </w:tc>
        <w:tc>
          <w:tcPr>
            <w:tcW w:w="2418"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项目来源</w:t>
            </w:r>
          </w:p>
        </w:tc>
        <w:tc>
          <w:tcPr>
            <w:tcW w:w="2413"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名称及编号</w:t>
            </w:r>
          </w:p>
        </w:tc>
        <w:tc>
          <w:tcPr>
            <w:tcW w:w="1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科研经费</w:t>
            </w:r>
            <w:r>
              <w:rPr>
                <w:rFonts w:hint="eastAsia" w:ascii="宋体" w:hAnsi="宋体" w:eastAsia="宋体" w:cs="宋体"/>
                <w:b/>
                <w:color w:val="000000"/>
                <w:kern w:val="0"/>
                <w:sz w:val="22"/>
              </w:rPr>
              <w:br w:type="textWrapping"/>
            </w:r>
            <w:r>
              <w:rPr>
                <w:rFonts w:hint="eastAsia" w:ascii="宋体" w:hAnsi="宋体" w:eastAsia="宋体" w:cs="宋体"/>
                <w:b/>
                <w:color w:val="000000"/>
                <w:kern w:val="0"/>
                <w:sz w:val="22"/>
              </w:rPr>
              <w:t>（万元）</w:t>
            </w:r>
          </w:p>
        </w:tc>
        <w:tc>
          <w:tcPr>
            <w:tcW w:w="23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本人承担任务或排名</w:t>
            </w: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jc w:val="center"/>
              <w:rPr>
                <w:rFonts w:hint="eastAsia" w:ascii="宋体" w:hAnsi="宋体" w:eastAsia="宋体"/>
                <w:sz w:val="24"/>
              </w:rPr>
            </w:pPr>
            <w:r>
              <w:rPr>
                <w:rFonts w:hint="eastAsia" w:ascii="宋体" w:hAnsi="宋体" w:eastAsia="宋体"/>
                <w:sz w:val="24"/>
              </w:rPr>
              <w:t>国家自然科学基金面上项目</w:t>
            </w:r>
          </w:p>
          <w:p>
            <w:pPr>
              <w:widowControl/>
              <w:numPr>
                <w:ilvl w:val="0"/>
                <w:numId w:val="3"/>
              </w:numPr>
              <w:jc w:val="center"/>
              <w:rPr>
                <w:rFonts w:hint="eastAsia" w:ascii="宋体" w:hAnsi="宋体" w:eastAsia="宋体"/>
                <w:sz w:val="24"/>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r>
              <w:rPr>
                <w:rFonts w:hint="eastAsia" w:ascii="宋体" w:hAnsi="宋体" w:eastAsia="宋体"/>
                <w:sz w:val="24"/>
              </w:rPr>
              <w:t>2.科技部973重大学研究计划</w:t>
            </w:r>
          </w:p>
        </w:tc>
        <w:tc>
          <w:tcPr>
            <w:tcW w:w="2413"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宋体" w:hAnsi="宋体" w:eastAsia="宋体"/>
                <w:sz w:val="24"/>
              </w:rPr>
            </w:pPr>
            <w:r>
              <w:rPr>
                <w:rFonts w:hint="eastAsia" w:ascii="宋体" w:hAnsi="宋体" w:eastAsia="宋体"/>
                <w:sz w:val="24"/>
              </w:rPr>
              <w:t>81372798，脂联素与子宫内膜癌发生发展的在体研究</w:t>
            </w:r>
          </w:p>
          <w:p>
            <w:pPr>
              <w:spacing w:beforeLines="0" w:afterLines="0"/>
              <w:jc w:val="left"/>
              <w:rPr>
                <w:rFonts w:hint="eastAsia" w:ascii="宋体" w:hAnsi="宋体" w:eastAsia="宋体"/>
                <w:sz w:val="24"/>
              </w:rPr>
            </w:pPr>
          </w:p>
          <w:p>
            <w:pPr>
              <w:spacing w:beforeLines="0" w:afterLines="0"/>
              <w:jc w:val="left"/>
              <w:rPr>
                <w:rFonts w:hint="eastAsia" w:ascii="宋体" w:hAnsi="宋体" w:eastAsia="宋体"/>
                <w:sz w:val="24"/>
              </w:rPr>
            </w:pPr>
            <w:r>
              <w:rPr>
                <w:rFonts w:hint="eastAsia" w:ascii="宋体" w:hAnsi="宋体" w:eastAsia="宋体"/>
                <w:sz w:val="24"/>
              </w:rPr>
              <w:t>2013CB945202</w:t>
            </w:r>
            <w:r>
              <w:rPr>
                <w:rFonts w:hint="eastAsia" w:ascii="宋体" w:hAnsi="宋体" w:eastAsia="宋体"/>
                <w:sz w:val="24"/>
                <w:lang w:eastAsia="zh-CN"/>
              </w:rPr>
              <w:t>，</w:t>
            </w:r>
            <w:r>
              <w:rPr>
                <w:rFonts w:hint="eastAsia" w:ascii="宋体" w:hAnsi="宋体" w:eastAsia="宋体"/>
                <w:sz w:val="24"/>
              </w:rPr>
              <w:t>脂代谢紊乱致精子发生障碍的机制研究</w:t>
            </w:r>
          </w:p>
        </w:tc>
        <w:tc>
          <w:tcPr>
            <w:tcW w:w="1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宋体" w:hAnsi="宋体" w:eastAsia="宋体"/>
                <w:sz w:val="24"/>
              </w:rPr>
            </w:pPr>
          </w:p>
          <w:p>
            <w:pPr>
              <w:widowControl/>
              <w:jc w:val="center"/>
              <w:rPr>
                <w:rFonts w:hint="eastAsia" w:ascii="宋体" w:hAnsi="宋体" w:eastAsia="宋体"/>
                <w:sz w:val="24"/>
              </w:rPr>
            </w:pPr>
            <w:r>
              <w:rPr>
                <w:rFonts w:hint="eastAsia" w:ascii="宋体" w:hAnsi="宋体" w:eastAsia="宋体"/>
                <w:sz w:val="24"/>
              </w:rPr>
              <w:t>62万元</w:t>
            </w:r>
          </w:p>
          <w:p>
            <w:pPr>
              <w:widowControl/>
              <w:jc w:val="center"/>
              <w:rPr>
                <w:rFonts w:hint="eastAsia" w:ascii="宋体" w:hAnsi="宋体" w:eastAsia="宋体"/>
                <w:sz w:val="24"/>
              </w:rPr>
            </w:pPr>
          </w:p>
          <w:p>
            <w:pPr>
              <w:widowControl/>
              <w:jc w:val="center"/>
              <w:rPr>
                <w:rFonts w:hint="eastAsia" w:ascii="宋体" w:hAnsi="宋体" w:eastAsia="宋体"/>
                <w:sz w:val="24"/>
              </w:rPr>
            </w:pPr>
          </w:p>
          <w:p>
            <w:pPr>
              <w:widowControl/>
              <w:jc w:val="center"/>
              <w:rPr>
                <w:rFonts w:hint="eastAsia" w:ascii="宋体" w:hAnsi="宋体" w:eastAsia="宋体"/>
                <w:sz w:val="24"/>
              </w:rPr>
            </w:pPr>
          </w:p>
          <w:p>
            <w:pPr>
              <w:widowControl/>
              <w:jc w:val="center"/>
              <w:rPr>
                <w:rFonts w:hint="eastAsia" w:ascii="宋体" w:hAnsi="宋体" w:eastAsia="宋体"/>
                <w:sz w:val="24"/>
              </w:rPr>
            </w:pPr>
          </w:p>
          <w:p>
            <w:pPr>
              <w:widowControl/>
              <w:jc w:val="both"/>
              <w:rPr>
                <w:rFonts w:hint="eastAsia" w:ascii="宋体" w:hAnsi="宋体" w:eastAsia="宋体"/>
                <w:sz w:val="24"/>
              </w:rPr>
            </w:pPr>
            <w:r>
              <w:rPr>
                <w:rFonts w:hint="eastAsia" w:ascii="宋体" w:hAnsi="宋体" w:eastAsia="宋体"/>
                <w:sz w:val="24"/>
                <w:lang w:val="en-US" w:eastAsia="zh-CN"/>
              </w:rPr>
              <w:t xml:space="preserve">  </w:t>
            </w:r>
            <w:r>
              <w:rPr>
                <w:rFonts w:hint="eastAsia" w:ascii="宋体" w:hAnsi="宋体" w:eastAsia="宋体"/>
                <w:sz w:val="24"/>
              </w:rPr>
              <w:t>160 万</w:t>
            </w:r>
          </w:p>
        </w:tc>
        <w:tc>
          <w:tcPr>
            <w:tcW w:w="23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sz w:val="24"/>
              </w:rPr>
            </w:pPr>
            <w:r>
              <w:rPr>
                <w:rFonts w:hint="eastAsia" w:ascii="宋体" w:hAnsi="宋体" w:eastAsia="宋体"/>
                <w:sz w:val="24"/>
              </w:rPr>
              <w:t>主持</w:t>
            </w:r>
          </w:p>
          <w:p>
            <w:pPr>
              <w:widowControl/>
              <w:jc w:val="center"/>
              <w:rPr>
                <w:rFonts w:hint="eastAsia" w:ascii="宋体" w:hAnsi="宋体" w:eastAsia="宋体"/>
                <w:sz w:val="24"/>
              </w:rPr>
            </w:pPr>
          </w:p>
          <w:p>
            <w:pPr>
              <w:widowControl/>
              <w:jc w:val="center"/>
              <w:rPr>
                <w:rFonts w:hint="eastAsia" w:ascii="宋体" w:hAnsi="宋体" w:eastAsia="宋体"/>
                <w:sz w:val="24"/>
              </w:rPr>
            </w:pPr>
          </w:p>
          <w:p>
            <w:pPr>
              <w:widowControl/>
              <w:jc w:val="center"/>
              <w:rPr>
                <w:rFonts w:hint="eastAsia" w:ascii="宋体" w:hAnsi="宋体" w:eastAsia="宋体"/>
                <w:sz w:val="24"/>
              </w:rPr>
            </w:pPr>
          </w:p>
          <w:p>
            <w:pPr>
              <w:widowControl/>
              <w:jc w:val="center"/>
              <w:rPr>
                <w:rFonts w:hint="eastAsia" w:ascii="宋体" w:hAnsi="宋体" w:eastAsia="宋体"/>
                <w:sz w:val="24"/>
                <w:lang w:val="en-US" w:eastAsia="zh-CN"/>
              </w:rPr>
            </w:pPr>
            <w:r>
              <w:rPr>
                <w:rFonts w:hint="eastAsia" w:ascii="宋体" w:hAnsi="宋体" w:eastAsia="宋体"/>
                <w:sz w:val="24"/>
                <w:lang w:val="en-US" w:eastAsia="zh-CN"/>
              </w:rPr>
              <w:t>骨干</w:t>
            </w: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673"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413"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1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近三年发表SCI收录论文（题名、杂志或出版社、年/卷页）情况</w:t>
            </w:r>
          </w:p>
        </w:tc>
      </w:tr>
      <w:tr>
        <w:tblPrEx>
          <w:tblLayout w:type="fixed"/>
          <w:tblCellMar>
            <w:top w:w="0" w:type="dxa"/>
            <w:left w:w="108" w:type="dxa"/>
            <w:bottom w:w="0" w:type="dxa"/>
            <w:right w:w="108" w:type="dxa"/>
          </w:tblCellMar>
        </w:tblPrEx>
        <w:trPr>
          <w:trHeight w:val="356"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1"/>
              <w:numPr>
                <w:ilvl w:val="0"/>
                <w:numId w:val="4"/>
              </w:numPr>
              <w:spacing w:before="100" w:beforeAutospacing="1" w:after="100" w:afterAutospacing="1"/>
              <w:ind w:right="1080"/>
              <w:jc w:val="both"/>
              <w:rPr>
                <w:rFonts w:hint="default" w:hAnsi="TimesNewRomanPS-BoldItalicMT" w:eastAsia="TimesNewRomanPS-BoldItalicMT" w:asciiTheme="minorAscii"/>
                <w:b/>
                <w:i/>
                <w:sz w:val="22"/>
                <w:szCs w:val="22"/>
              </w:rPr>
            </w:pPr>
            <w:r>
              <w:rPr>
                <w:rFonts w:hint="eastAsia" w:hAnsi="TimesNewRomanPSMT" w:eastAsia="宋体" w:asciiTheme="minorAscii"/>
                <w:sz w:val="22"/>
                <w:szCs w:val="22"/>
                <w:lang w:val="en-US" w:eastAsia="zh-CN"/>
              </w:rPr>
              <w:t xml:space="preserve"> </w:t>
            </w:r>
            <w:r>
              <w:rPr>
                <w:rFonts w:hint="default" w:hAnsi="TimesNewRomanPSMT" w:eastAsia="TimesNewRomanPSMT" w:asciiTheme="minorAscii"/>
                <w:sz w:val="22"/>
                <w:szCs w:val="22"/>
              </w:rPr>
              <w:t>Jie Li, Dong Wei, Mark A McCrory, Alexander J Szalai, Gangyi Yang, Ling Li, Fanghong Li</w:t>
            </w:r>
            <w:r>
              <w:rPr>
                <w:rFonts w:asciiTheme="minorAscii"/>
                <w:b/>
                <w:bCs/>
                <w:sz w:val="22"/>
                <w:szCs w:val="22"/>
                <w:lang w:eastAsia="zh-CN"/>
              </w:rPr>
              <w:t>( Co-corresponding author)</w:t>
            </w:r>
            <w:r>
              <w:rPr>
                <w:rFonts w:hint="default" w:hAnsi="TimesNewRomanPSMT" w:eastAsia="TimesNewRomanPSMT" w:asciiTheme="minorAscii"/>
                <w:sz w:val="22"/>
                <w:szCs w:val="22"/>
              </w:rPr>
              <w:t xml:space="preserve">, Allan Z Zhao.Human C-Reactive Protein Impedes Entry of Leptin into the CNS and Attenuates Its Physiological Actions in the CNS. </w:t>
            </w:r>
            <w:r>
              <w:rPr>
                <w:rFonts w:hint="default" w:hAnsi="TimesNewRomanPS-BoldItalicMT" w:eastAsia="TimesNewRomanPS-BoldItalicMT" w:asciiTheme="minorAscii"/>
                <w:b/>
                <w:i/>
                <w:sz w:val="22"/>
                <w:szCs w:val="22"/>
              </w:rPr>
              <w:t>Biochemical J</w:t>
            </w:r>
            <w:r>
              <w:rPr>
                <w:rFonts w:hint="eastAsia" w:hAnsi="TimesNewRomanPS-BoldItalicMT" w:eastAsia="宋体" w:asciiTheme="minorAscii"/>
                <w:b/>
                <w:i/>
                <w:sz w:val="22"/>
                <w:szCs w:val="22"/>
                <w:lang w:val="en-US" w:eastAsia="zh-CN"/>
              </w:rPr>
              <w:t xml:space="preserve">. </w:t>
            </w:r>
            <w:r>
              <w:rPr>
                <w:rFonts w:hint="eastAsia" w:hAnsi="TimesNewRomanPS-BoldItalicMT" w:eastAsia="宋体" w:asciiTheme="minorAscii"/>
                <w:b w:val="0"/>
                <w:bCs/>
                <w:i w:val="0"/>
                <w:iCs/>
                <w:sz w:val="22"/>
                <w:szCs w:val="22"/>
                <w:lang w:val="en-US" w:eastAsia="zh-CN"/>
              </w:rPr>
              <w:t>2016</w:t>
            </w:r>
            <w:r>
              <w:rPr>
                <w:rFonts w:hint="eastAsia" w:hAnsi="宋体" w:eastAsia="宋体" w:asciiTheme="minorAscii"/>
                <w:sz w:val="22"/>
                <w:szCs w:val="22"/>
              </w:rPr>
              <w:t>（</w:t>
            </w:r>
            <w:r>
              <w:rPr>
                <w:rFonts w:hint="default" w:hAnsi="TimesNewRomanPSMT" w:eastAsia="TimesNewRomanPSMT" w:asciiTheme="minorAscii"/>
                <w:sz w:val="22"/>
                <w:szCs w:val="22"/>
              </w:rPr>
              <w:t>Inprint)</w:t>
            </w:r>
          </w:p>
          <w:p>
            <w:pPr>
              <w:spacing w:beforeLines="0" w:afterLines="0"/>
              <w:ind w:left="637" w:leftChars="199" w:hanging="220" w:hangingChars="100"/>
              <w:jc w:val="left"/>
              <w:rPr>
                <w:rFonts w:hint="eastAsia" w:eastAsiaTheme="minorEastAsia"/>
                <w:bCs/>
                <w:sz w:val="22"/>
                <w:szCs w:val="22"/>
                <w:lang w:val="en-US" w:eastAsia="zh-CN"/>
              </w:rPr>
            </w:pPr>
            <w:r>
              <w:rPr>
                <w:rFonts w:hint="eastAsia"/>
                <w:bCs/>
                <w:sz w:val="22"/>
                <w:szCs w:val="22"/>
                <w:lang w:val="en-US" w:eastAsia="zh-CN"/>
              </w:rPr>
              <w:t xml:space="preserve">2. </w:t>
            </w:r>
            <w:r>
              <w:rPr>
                <w:rFonts w:hint="eastAsia" w:hAnsi="宋体" w:eastAsia="宋体" w:asciiTheme="minorAscii"/>
                <w:sz w:val="22"/>
                <w:szCs w:val="22"/>
              </w:rPr>
              <w:t>金燕，王琨，刘珊珊，</w:t>
            </w:r>
            <w:r>
              <w:rPr>
                <w:rFonts w:hint="eastAsia" w:hAnsi="宋体" w:eastAsia="宋体" w:asciiTheme="minorAscii"/>
                <w:b/>
                <w:bCs/>
                <w:sz w:val="22"/>
                <w:szCs w:val="22"/>
              </w:rPr>
              <w:t>李芳红</w:t>
            </w:r>
            <w:r>
              <w:rPr>
                <w:rFonts w:hint="eastAsia" w:hAnsi="宋体" w:eastAsia="宋体" w:asciiTheme="minorAscii"/>
                <w:b/>
                <w:bCs/>
                <w:sz w:val="22"/>
                <w:szCs w:val="22"/>
                <w:lang w:val="en-US" w:eastAsia="zh-CN"/>
              </w:rPr>
              <w:t>(通许作者）</w:t>
            </w:r>
            <w:r>
              <w:rPr>
                <w:rFonts w:hint="default" w:hAnsi="TimesNewRomanPSMT" w:eastAsia="TimesNewRomanPSMT" w:asciiTheme="minorAscii"/>
                <w:sz w:val="22"/>
                <w:szCs w:val="22"/>
              </w:rPr>
              <w:t>.</w:t>
            </w:r>
            <w:r>
              <w:rPr>
                <w:rFonts w:hint="eastAsia" w:hAnsi="宋体" w:eastAsia="宋体" w:asciiTheme="minorAscii"/>
                <w:sz w:val="22"/>
                <w:szCs w:val="22"/>
              </w:rPr>
              <w:t>中国汉族女性血清脂联素水平与多囊卵巢综合征关系的Ｍｅｔａ分析</w:t>
            </w:r>
            <w:r>
              <w:rPr>
                <w:rFonts w:hint="default" w:hAnsi="TimesNewRomanPSMT" w:eastAsia="TimesNewRomanPSMT" w:asciiTheme="minorAscii"/>
                <w:sz w:val="22"/>
                <w:szCs w:val="22"/>
              </w:rPr>
              <w:t>.</w:t>
            </w:r>
            <w:r>
              <w:rPr>
                <w:rFonts w:hint="eastAsia" w:hAnsi="宋体" w:eastAsia="宋体" w:asciiTheme="minorAscii"/>
                <w:b/>
                <w:bCs/>
                <w:i/>
                <w:iCs/>
                <w:sz w:val="22"/>
                <w:szCs w:val="22"/>
              </w:rPr>
              <w:t>江苏大学学报（医学版）</w:t>
            </w:r>
            <w:r>
              <w:rPr>
                <w:rFonts w:hint="eastAsia" w:hAnsi="宋体" w:eastAsia="宋体" w:asciiTheme="minorAscii"/>
                <w:sz w:val="22"/>
                <w:szCs w:val="22"/>
              </w:rPr>
              <w:t>第２５卷 第３期</w:t>
            </w:r>
            <w:r>
              <w:rPr>
                <w:rFonts w:hint="default" w:hAnsi="TimesNewRomanPSMT" w:eastAsia="TimesNewRomanPSMT" w:asciiTheme="minorAscii"/>
                <w:sz w:val="22"/>
                <w:szCs w:val="22"/>
              </w:rPr>
              <w:t>,</w:t>
            </w:r>
            <w:r>
              <w:rPr>
                <w:rFonts w:hint="eastAsia" w:hAnsi="宋体" w:eastAsia="宋体" w:asciiTheme="minorAscii"/>
                <w:sz w:val="22"/>
                <w:szCs w:val="22"/>
              </w:rPr>
              <w:t>２０１</w:t>
            </w:r>
            <w:r>
              <w:rPr>
                <w:rFonts w:hint="default" w:hAnsi="TimesNewRomanPSMT" w:eastAsia="TimesNewRomanPSMT" w:asciiTheme="minorAscii"/>
                <w:sz w:val="22"/>
                <w:szCs w:val="22"/>
              </w:rPr>
              <w:t>5,</w:t>
            </w:r>
            <w:r>
              <w:rPr>
                <w:rFonts w:hint="eastAsia" w:hAnsi="TimesNewRomanPSMT" w:eastAsia="宋体" w:asciiTheme="minorAscii"/>
                <w:sz w:val="22"/>
                <w:szCs w:val="22"/>
                <w:lang w:val="en-US" w:eastAsia="zh-CN"/>
              </w:rPr>
              <w:t xml:space="preserve"> </w:t>
            </w:r>
            <w:r>
              <w:rPr>
                <w:rFonts w:hint="default" w:hAnsi="TimesNewRomanPSMT" w:eastAsia="TimesNewRomanPSMT" w:asciiTheme="minorAscii"/>
                <w:sz w:val="22"/>
                <w:szCs w:val="22"/>
              </w:rPr>
              <w:t>229-235</w:t>
            </w:r>
          </w:p>
          <w:p>
            <w:pPr>
              <w:pStyle w:val="11"/>
              <w:numPr>
                <w:ilvl w:val="0"/>
                <w:numId w:val="4"/>
              </w:numPr>
              <w:spacing w:before="100" w:beforeAutospacing="1" w:after="100" w:afterAutospacing="1"/>
              <w:ind w:right="1080"/>
              <w:jc w:val="both"/>
              <w:rPr>
                <w:bCs/>
                <w:sz w:val="22"/>
                <w:szCs w:val="22"/>
              </w:rPr>
            </w:pPr>
            <w:r>
              <w:rPr>
                <w:rFonts w:eastAsiaTheme="majorEastAsia"/>
                <w:color w:val="000000"/>
                <w:sz w:val="22"/>
                <w:szCs w:val="22"/>
                <w:shd w:val="clear" w:color="auto" w:fill="FFFFFF"/>
              </w:rPr>
              <w:t xml:space="preserve">Elevation of ω-3 Polyunsaturated Fatty Acids Attenuates PTEN-deficiency Induced Endometrial Cancer Development through Regulation of COX-2 and PGE2 Production" Jinshun Pan, Lixian Cheng, Xin Zhang, Xinyun Bi, Shanshan Liu, Xiaoming Bai, </w:t>
            </w:r>
            <w:r>
              <w:rPr>
                <w:rFonts w:eastAsiaTheme="majorEastAsia"/>
                <w:b/>
                <w:color w:val="000000"/>
                <w:sz w:val="22"/>
                <w:szCs w:val="22"/>
                <w:shd w:val="clear" w:color="auto" w:fill="FFFFFF"/>
              </w:rPr>
              <w:t>Fanghong Li</w:t>
            </w:r>
            <w:r>
              <w:rPr>
                <w:rFonts w:eastAsiaTheme="majorEastAsia"/>
                <w:color w:val="000000"/>
                <w:sz w:val="22"/>
                <w:szCs w:val="22"/>
                <w:shd w:val="clear" w:color="auto" w:fill="FFFFFF"/>
              </w:rPr>
              <w:t>, and Allan Zhao</w:t>
            </w:r>
            <w:r>
              <w:rPr>
                <w:rFonts w:hint="eastAsia" w:eastAsiaTheme="majorEastAsia"/>
                <w:color w:val="000000"/>
                <w:sz w:val="22"/>
                <w:szCs w:val="22"/>
                <w:shd w:val="clear" w:color="auto" w:fill="FFFFFF"/>
                <w:lang w:val="en-US" w:eastAsia="zh-CN"/>
              </w:rPr>
              <w:t xml:space="preserve">.  </w:t>
            </w:r>
            <w:r>
              <w:rPr>
                <w:b/>
                <w:bCs/>
                <w:i/>
                <w:iCs/>
                <w:color w:val="auto"/>
              </w:rPr>
              <w:fldChar w:fldCharType="begin"/>
            </w:r>
            <w:r>
              <w:rPr>
                <w:b/>
                <w:bCs/>
                <w:i/>
                <w:iCs/>
                <w:color w:val="auto"/>
              </w:rPr>
              <w:instrText xml:space="preserve">HYPERLINK "http://www.ncbi.nlm.nih.gov/pubmed/?term=1.%09Elevation+of+%CF%89-3+Polyunsaturated+Fatty+Acids+Attenuates+PTEN-deficiency+Induced+Endometrial+Cancer+Development+through+Regulation+of+COX-2+and+PGE2+Production%22++2015++Scientific+Reports" \o "Scientific reports."</w:instrText>
            </w:r>
            <w:r>
              <w:rPr>
                <w:b/>
                <w:bCs/>
                <w:i/>
                <w:iCs/>
                <w:color w:val="auto"/>
              </w:rPr>
              <w:fldChar w:fldCharType="separate"/>
            </w:r>
            <w:r>
              <w:rPr>
                <w:rStyle w:val="12"/>
                <w:rFonts w:eastAsiaTheme="majorEastAsia"/>
                <w:b/>
                <w:bCs/>
                <w:i/>
                <w:iCs/>
                <w:color w:val="auto"/>
                <w:sz w:val="22"/>
                <w:szCs w:val="22"/>
                <w:shd w:val="clear" w:color="auto" w:fill="FFFFFF"/>
              </w:rPr>
              <w:t>Sci Rep</w:t>
            </w:r>
            <w:r>
              <w:rPr>
                <w:rStyle w:val="5"/>
                <w:rFonts w:eastAsiaTheme="majorEastAsia"/>
                <w:b/>
                <w:bCs/>
                <w:i/>
                <w:iCs/>
                <w:color w:val="auto"/>
                <w:sz w:val="22"/>
                <w:szCs w:val="22"/>
                <w:shd w:val="clear" w:color="auto" w:fill="FFFFFF"/>
              </w:rPr>
              <w:t>.</w:t>
            </w:r>
            <w:r>
              <w:rPr>
                <w:b/>
                <w:bCs/>
                <w:i/>
                <w:iCs/>
                <w:color w:val="auto"/>
              </w:rPr>
              <w:fldChar w:fldCharType="end"/>
            </w:r>
            <w:r>
              <w:rPr>
                <w:rStyle w:val="13"/>
                <w:rFonts w:eastAsiaTheme="majorEastAsia"/>
                <w:b/>
                <w:bCs/>
                <w:i/>
                <w:iCs/>
                <w:color w:val="000000"/>
                <w:sz w:val="22"/>
                <w:szCs w:val="22"/>
                <w:shd w:val="clear" w:color="auto" w:fill="FFFFFF"/>
              </w:rPr>
              <w:t> </w:t>
            </w:r>
            <w:r>
              <w:rPr>
                <w:rStyle w:val="12"/>
                <w:rFonts w:eastAsiaTheme="majorEastAsia"/>
                <w:color w:val="000000"/>
                <w:sz w:val="22"/>
                <w:szCs w:val="22"/>
                <w:shd w:val="clear" w:color="auto" w:fill="FFFFFF"/>
              </w:rPr>
              <w:t>2015</w:t>
            </w:r>
            <w:r>
              <w:rPr>
                <w:rStyle w:val="13"/>
                <w:rFonts w:eastAsiaTheme="majorEastAsia"/>
                <w:color w:val="000000"/>
                <w:sz w:val="22"/>
                <w:szCs w:val="22"/>
                <w:shd w:val="clear" w:color="auto" w:fill="FFFFFF"/>
              </w:rPr>
              <w:t> </w:t>
            </w:r>
            <w:r>
              <w:rPr>
                <w:rFonts w:eastAsiaTheme="majorEastAsia"/>
                <w:color w:val="000000"/>
                <w:sz w:val="22"/>
                <w:szCs w:val="22"/>
                <w:shd w:val="clear" w:color="auto" w:fill="FFFFFF"/>
              </w:rPr>
              <w:t>Oct 15;5:14958.</w:t>
            </w:r>
            <w:r>
              <w:rPr>
                <w:rFonts w:hint="eastAsia" w:eastAsiaTheme="majorEastAsia"/>
                <w:color w:val="000000"/>
                <w:sz w:val="22"/>
                <w:szCs w:val="22"/>
                <w:shd w:val="clear" w:color="auto" w:fill="FFFFFF"/>
                <w:lang w:eastAsia="zh-CN"/>
              </w:rPr>
              <w:t xml:space="preserve"> </w:t>
            </w:r>
          </w:p>
          <w:p>
            <w:pPr>
              <w:pStyle w:val="11"/>
            </w:pPr>
          </w:p>
          <w:p>
            <w:pPr>
              <w:pStyle w:val="11"/>
              <w:numPr>
                <w:ilvl w:val="0"/>
                <w:numId w:val="4"/>
              </w:numPr>
              <w:spacing w:before="100" w:beforeAutospacing="1" w:after="100" w:afterAutospacing="1"/>
              <w:ind w:right="1080"/>
              <w:jc w:val="both"/>
              <w:rPr>
                <w:bCs/>
              </w:rPr>
            </w:pPr>
            <w:r>
              <w:t>F</w:t>
            </w:r>
            <w:r>
              <w:rPr>
                <w:lang w:eastAsia="zh-CN"/>
              </w:rPr>
              <w:t>X</w:t>
            </w:r>
            <w:r>
              <w:t xml:space="preserve"> Zeng, J</w:t>
            </w:r>
            <w:r>
              <w:rPr>
                <w:lang w:eastAsia="zh-CN"/>
              </w:rPr>
              <w:t>Y</w:t>
            </w:r>
            <w:r>
              <w:t xml:space="preserve"> Shi, Y Long, H</w:t>
            </w:r>
            <w:r>
              <w:rPr>
                <w:lang w:eastAsia="zh-CN"/>
              </w:rPr>
              <w:t>M</w:t>
            </w:r>
            <w:r>
              <w:t xml:space="preserve"> Tian</w:t>
            </w:r>
            <w:r>
              <w:rPr>
                <w:vertAlign w:val="superscript"/>
              </w:rPr>
              <w:t>2</w:t>
            </w:r>
            <w:r>
              <w:t>, X</w:t>
            </w:r>
            <w:r>
              <w:rPr>
                <w:lang w:eastAsia="zh-CN"/>
              </w:rPr>
              <w:t>X</w:t>
            </w:r>
            <w:r>
              <w:t xml:space="preserve"> Li, AZ. Zhao, </w:t>
            </w:r>
            <w:r>
              <w:rPr>
                <w:b/>
                <w:bCs/>
                <w:lang w:eastAsia="zh-CN"/>
              </w:rPr>
              <w:t>FH</w:t>
            </w:r>
            <w:r>
              <w:rPr>
                <w:b/>
                <w:bCs/>
              </w:rPr>
              <w:t xml:space="preserve"> Li</w:t>
            </w:r>
            <w:r>
              <w:rPr>
                <w:b/>
                <w:bCs/>
                <w:lang w:eastAsia="zh-CN"/>
              </w:rPr>
              <w:t xml:space="preserve"> ( Co-corresponding author)</w:t>
            </w:r>
            <w:r>
              <w:t>, Tao Chen</w:t>
            </w:r>
            <w:r>
              <w:rPr>
                <w:bCs/>
                <w:color w:val="000000"/>
                <w:lang w:eastAsia="zh-CN"/>
              </w:rPr>
              <w:t>. A</w:t>
            </w:r>
            <w:r>
              <w:rPr>
                <w:bCs/>
                <w:color w:val="000000"/>
              </w:rPr>
              <w:t xml:space="preserve">diponectin and endometrial cancer: </w:t>
            </w:r>
            <w:r>
              <w:rPr>
                <w:rFonts w:eastAsia="Shaker2Lancet-Bold"/>
                <w:bCs/>
                <w:color w:val="000000"/>
              </w:rPr>
              <w:t>a systematic review and meta-analysis</w:t>
            </w:r>
            <w:r>
              <w:rPr>
                <w:rFonts w:eastAsia="Shaker2Lancet-Bold"/>
                <w:bCs/>
                <w:color w:val="000000"/>
                <w:lang w:eastAsia="zh-CN"/>
              </w:rPr>
              <w:t xml:space="preserve">. </w:t>
            </w:r>
            <w:r>
              <w:rPr>
                <w:b/>
                <w:bCs/>
                <w:i/>
                <w:color w:val="000000"/>
                <w:sz w:val="22"/>
                <w:szCs w:val="22"/>
              </w:rPr>
              <w:t xml:space="preserve">Cell.Physiol.Biochem J. </w:t>
            </w:r>
            <w:r>
              <w:t xml:space="preserve"> 2015 Jul 10;36(4):1670-1678. </w:t>
            </w:r>
          </w:p>
          <w:p>
            <w:pPr>
              <w:pStyle w:val="11"/>
              <w:spacing w:before="100" w:beforeAutospacing="1" w:after="100" w:afterAutospacing="1"/>
              <w:ind w:left="773" w:right="1080"/>
              <w:jc w:val="both"/>
              <w:rPr>
                <w:bCs/>
              </w:rPr>
            </w:pPr>
          </w:p>
          <w:p>
            <w:pPr>
              <w:pStyle w:val="11"/>
              <w:numPr>
                <w:ilvl w:val="0"/>
                <w:numId w:val="4"/>
              </w:numPr>
              <w:spacing w:before="100" w:beforeAutospacing="1" w:after="100" w:afterAutospacing="1"/>
              <w:ind w:right="1080"/>
              <w:jc w:val="both"/>
              <w:rPr>
                <w:bCs/>
              </w:rPr>
            </w:pPr>
            <w:r>
              <w:t xml:space="preserve">Li, J, </w:t>
            </w:r>
            <w:r>
              <w:rPr>
                <w:b/>
              </w:rPr>
              <w:t>Li, FH (</w:t>
            </w:r>
            <w:r>
              <w:rPr>
                <w:b/>
                <w:lang w:eastAsia="zh-CN"/>
              </w:rPr>
              <w:t>Co-first author)</w:t>
            </w:r>
            <w:r>
              <w:rPr>
                <w:b/>
              </w:rPr>
              <w:t xml:space="preserve">, </w:t>
            </w:r>
            <w:r>
              <w:t>Wei, D, Li, XX, Jia, W, Kang, JX, Stefanovic-Racic</w:t>
            </w:r>
            <w:r>
              <w:rPr>
                <w:color w:val="8E7D0C"/>
              </w:rPr>
              <w:t xml:space="preserve">, </w:t>
            </w:r>
            <w:r>
              <w:t xml:space="preserve">Dai, YF, and Zhao, AZ. Endogenous Production of -3 PUFAs and Reduction of -6 PUFAs via Transgenic </w:t>
            </w:r>
            <w:r>
              <w:rPr>
                <w:i/>
              </w:rPr>
              <w:t>fat-1</w:t>
            </w:r>
            <w:r>
              <w:t xml:space="preserve"> Expression Confer Resistance to Diet-Induced Obesity and Diabetes. </w:t>
            </w:r>
            <w:r>
              <w:rPr>
                <w:lang w:eastAsia="zh-CN"/>
              </w:rPr>
              <w:t xml:space="preserve"> </w:t>
            </w:r>
            <w:r>
              <w:rPr>
                <w:b/>
                <w:i/>
                <w:lang w:eastAsia="zh-CN"/>
              </w:rPr>
              <w:t>Mol Endocrinol</w:t>
            </w:r>
            <w:r>
              <w:rPr>
                <w:b/>
                <w:lang w:eastAsia="zh-CN"/>
              </w:rPr>
              <w:t>.</w:t>
            </w:r>
            <w:r>
              <w:rPr>
                <w:lang w:eastAsia="zh-CN"/>
              </w:rPr>
              <w:t xml:space="preserve"> </w:t>
            </w:r>
            <w:r>
              <w:rPr>
                <w:color w:val="000000"/>
                <w:shd w:val="clear" w:color="auto" w:fill="FFFFFF"/>
              </w:rPr>
              <w:t>2014 Aug;28(8):1316-28</w:t>
            </w:r>
          </w:p>
          <w:p>
            <w:pPr>
              <w:pStyle w:val="11"/>
              <w:rPr>
                <w:bCs/>
              </w:rPr>
            </w:pPr>
          </w:p>
          <w:p>
            <w:pPr>
              <w:pStyle w:val="11"/>
              <w:spacing w:before="100" w:beforeAutospacing="1" w:after="100" w:afterAutospacing="1"/>
              <w:ind w:left="773" w:right="1080"/>
              <w:jc w:val="both"/>
              <w:rPr>
                <w:bCs/>
              </w:rPr>
            </w:pPr>
          </w:p>
          <w:p>
            <w:pPr>
              <w:pStyle w:val="11"/>
              <w:numPr>
                <w:ilvl w:val="0"/>
                <w:numId w:val="4"/>
              </w:numPr>
              <w:spacing w:before="100" w:beforeAutospacing="1" w:after="100" w:afterAutospacing="1"/>
              <w:ind w:right="1080"/>
              <w:jc w:val="both"/>
              <w:rPr>
                <w:bCs/>
              </w:rPr>
            </w:pPr>
            <w:r>
              <w:rPr>
                <w:bCs/>
              </w:rPr>
              <w:t>Zhu, Y.,</w:t>
            </w:r>
            <w:r>
              <w:rPr>
                <w:bCs/>
                <w:vertAlign w:val="superscript"/>
              </w:rPr>
              <w:t xml:space="preserve"> </w:t>
            </w:r>
            <w:r>
              <w:rPr>
                <w:bCs/>
              </w:rPr>
              <w:t xml:space="preserve">Yu, MN., Ma, LY., Xu, H., </w:t>
            </w:r>
            <w:r>
              <w:rPr>
                <w:b/>
                <w:bCs/>
              </w:rPr>
              <w:t>Li, FH</w:t>
            </w:r>
            <w:r>
              <w:rPr>
                <w:rFonts w:hint="eastAsia"/>
                <w:b/>
                <w:bCs/>
                <w:lang w:eastAsia="zh-CN"/>
              </w:rPr>
              <w:t xml:space="preserve"> (C</w:t>
            </w:r>
            <w:r>
              <w:rPr>
                <w:b/>
                <w:bCs/>
                <w:lang w:eastAsia="zh-CN"/>
              </w:rPr>
              <w:t>orresponding author)</w:t>
            </w:r>
            <w:r>
              <w:rPr>
                <w:bCs/>
              </w:rPr>
              <w:t>. A death from Pulmonary Throboembolism-like Metastatic Chriocarcinoma</w:t>
            </w:r>
            <w:r>
              <w:t>：</w:t>
            </w:r>
            <w:r>
              <w:rPr>
                <w:bCs/>
              </w:rPr>
              <w:t xml:space="preserve">A Case Report and Literature Review. </w:t>
            </w:r>
            <w:r>
              <w:rPr>
                <w:b/>
                <w:bCs/>
                <w:i/>
              </w:rPr>
              <w:t xml:space="preserve">Journal </w:t>
            </w:r>
            <w:r>
              <w:rPr>
                <w:b/>
                <w:bCs/>
                <w:i/>
                <w:lang w:eastAsia="zh-CN"/>
              </w:rPr>
              <w:t>Biochemical Research</w:t>
            </w:r>
            <w:r>
              <w:rPr>
                <w:rFonts w:hint="eastAsia"/>
                <w:b/>
                <w:bCs/>
                <w:i/>
                <w:lang w:val="en-US" w:eastAsia="zh-CN"/>
              </w:rPr>
              <w:t>.</w:t>
            </w:r>
            <w:r>
              <w:rPr>
                <w:b w:val="0"/>
                <w:bCs w:val="0"/>
                <w:i/>
                <w:iCs w:val="0"/>
              </w:rPr>
              <w:t xml:space="preserve"> </w:t>
            </w:r>
            <w:r>
              <w:rPr>
                <w:rFonts w:hint="eastAsia"/>
                <w:b w:val="0"/>
                <w:bCs w:val="0"/>
                <w:i/>
                <w:iCs w:val="0"/>
                <w:lang w:eastAsia="zh-CN"/>
              </w:rPr>
              <w:t xml:space="preserve">2015, </w:t>
            </w:r>
            <w:r>
              <w:rPr>
                <w:rFonts w:hint="eastAsia"/>
                <w:b w:val="0"/>
                <w:bCs w:val="0"/>
                <w:i/>
                <w:iCs w:val="0"/>
                <w:lang w:val="en-US" w:eastAsia="zh-CN"/>
              </w:rPr>
              <w:t xml:space="preserve">29:000 </w:t>
            </w:r>
          </w:p>
          <w:p>
            <w:pPr>
              <w:pStyle w:val="11"/>
              <w:spacing w:before="100" w:beforeAutospacing="1" w:after="100" w:afterAutospacing="1"/>
              <w:ind w:left="773" w:right="1080"/>
              <w:jc w:val="both"/>
              <w:rPr>
                <w:bCs/>
              </w:rPr>
            </w:pPr>
          </w:p>
          <w:p>
            <w:pPr>
              <w:pStyle w:val="11"/>
              <w:numPr>
                <w:ilvl w:val="0"/>
                <w:numId w:val="4"/>
              </w:numPr>
              <w:ind w:right="1080"/>
              <w:jc w:val="both"/>
              <w:rPr>
                <w:lang w:eastAsia="zh-CN"/>
              </w:rPr>
            </w:pPr>
            <w:r>
              <w:fldChar w:fldCharType="begin"/>
            </w:r>
            <w:r>
              <w:instrText xml:space="preserve"> HYPERLINK "http://www.ncbi.nlm.nih.gov/pubmed?term=Ma%20L%5BAuthor%5D&amp;cauthor=true&amp;cauthor_uid=23650435" </w:instrText>
            </w:r>
            <w:r>
              <w:fldChar w:fldCharType="separate"/>
            </w:r>
            <w:r>
              <w:t>Ma L</w:t>
            </w:r>
            <w:r>
              <w:fldChar w:fldCharType="end"/>
            </w:r>
            <w:r>
              <w:t xml:space="preserve">, </w:t>
            </w:r>
            <w:r>
              <w:fldChar w:fldCharType="begin"/>
            </w:r>
            <w:r>
              <w:instrText xml:space="preserve"> HYPERLINK "http://www.ncbi.nlm.nih.gov/pubmed?term=Zhu%20Y%5BAuthor%5D&amp;cauthor=true&amp;cauthor_uid=23650435" </w:instrText>
            </w:r>
            <w:r>
              <w:fldChar w:fldCharType="separate"/>
            </w:r>
            <w:r>
              <w:t>Zhu Y</w:t>
            </w:r>
            <w:r>
              <w:fldChar w:fldCharType="end"/>
            </w:r>
            <w:r>
              <w:t xml:space="preserve">, </w:t>
            </w:r>
            <w:r>
              <w:fldChar w:fldCharType="begin"/>
            </w:r>
            <w:r>
              <w:instrText xml:space="preserve"> HYPERLINK "http://www.ncbi.nlm.nih.gov/pubmed?term=Sun%20H%5BAuthor%5D&amp;cauthor=true&amp;cauthor_uid=23650435" </w:instrText>
            </w:r>
            <w:r>
              <w:fldChar w:fldCharType="separate"/>
            </w:r>
            <w:r>
              <w:t>Sun H</w:t>
            </w:r>
            <w:r>
              <w:fldChar w:fldCharType="end"/>
            </w:r>
            <w:r>
              <w:t xml:space="preserve">, </w:t>
            </w:r>
            <w:r>
              <w:fldChar w:fldCharType="begin"/>
            </w:r>
            <w:r>
              <w:instrText xml:space="preserve"> HYPERLINK "http://www.ncbi.nlm.nih.gov/pubmed?term=Li%20F%5BAuthor%5D&amp;cauthor=true&amp;cauthor_uid=23650435" </w:instrText>
            </w:r>
            <w:r>
              <w:fldChar w:fldCharType="separate"/>
            </w:r>
            <w:r>
              <w:rPr>
                <w:b/>
              </w:rPr>
              <w:t>Li F</w:t>
            </w:r>
            <w:r>
              <w:rPr>
                <w:b/>
              </w:rPr>
              <w:fldChar w:fldCharType="end"/>
            </w:r>
            <w:r>
              <w:t xml:space="preserve">, </w:t>
            </w:r>
            <w:r>
              <w:fldChar w:fldCharType="begin"/>
            </w:r>
            <w:r>
              <w:instrText xml:space="preserve"> HYPERLINK "http://www.ncbi.nlm.nih.gov/pubmed?term=Shao%20Y%5BAuthor%5D&amp;cauthor=true&amp;cauthor_uid=23650435" </w:instrText>
            </w:r>
            <w:r>
              <w:fldChar w:fldCharType="separate"/>
            </w:r>
            <w:r>
              <w:t>Shao Y</w:t>
            </w:r>
            <w:r>
              <w:fldChar w:fldCharType="end"/>
            </w:r>
            <w:r>
              <w:t xml:space="preserve">, </w:t>
            </w:r>
            <w:r>
              <w:fldChar w:fldCharType="begin"/>
            </w:r>
            <w:r>
              <w:instrText xml:space="preserve"> HYPERLINK "http://www.ncbi.nlm.nih.gov/pubmed?term=Zhang%20S%5BAuthor%5D&amp;cauthor=true&amp;cauthor_uid=23650435" </w:instrText>
            </w:r>
            <w:r>
              <w:fldChar w:fldCharType="separate"/>
            </w:r>
            <w:r>
              <w:t>Zhang S</w:t>
            </w:r>
            <w:r>
              <w:fldChar w:fldCharType="end"/>
            </w:r>
            <w:r>
              <w:t xml:space="preserve">. A Lesson from Rare Cause of Pulmonary Embolism. </w:t>
            </w:r>
            <w:r>
              <w:rPr>
                <w:b/>
                <w:i/>
              </w:rPr>
              <w:t>Respir Care</w:t>
            </w:r>
            <w:r>
              <w:t>, 2013</w:t>
            </w:r>
            <w:r>
              <w:rPr>
                <w:lang w:eastAsia="zh-CN"/>
              </w:rPr>
              <w:t>, Vol 58, NO 11 : e149-151</w:t>
            </w:r>
          </w:p>
          <w:p>
            <w:pPr>
              <w:pStyle w:val="11"/>
              <w:ind w:left="773" w:right="1080"/>
              <w:jc w:val="both"/>
              <w:rPr>
                <w:lang w:eastAsia="zh-CN"/>
              </w:rPr>
            </w:pPr>
          </w:p>
          <w:p>
            <w:pPr>
              <w:ind w:left="810" w:right="1080" w:hanging="360"/>
              <w:jc w:val="both"/>
            </w:pPr>
            <w:r>
              <w:rPr>
                <w:rFonts w:hint="eastAsia"/>
                <w:lang w:eastAsia="zh-CN"/>
              </w:rPr>
              <w:t>7</w:t>
            </w:r>
            <w:r>
              <w:t xml:space="preserve">. </w:t>
            </w:r>
            <w:r>
              <w:rPr>
                <w:b/>
              </w:rPr>
              <w:t>Li, FH</w:t>
            </w:r>
            <w:r>
              <w:rPr>
                <w:rFonts w:hint="eastAsia"/>
                <w:b/>
                <w:lang w:eastAsia="zh-CN"/>
              </w:rPr>
              <w:t>（</w:t>
            </w:r>
            <w:r>
              <w:rPr>
                <w:rFonts w:hint="eastAsia"/>
                <w:b/>
                <w:lang w:val="en-US" w:eastAsia="zh-CN"/>
              </w:rPr>
              <w:t>First Author)</w:t>
            </w:r>
            <w:r>
              <w:t>, Gupta, M, McCluggage, WG, Ronnett, BM Embryonal Rhabdomyosarcoma of the Uterine Corpus and Cervix in Adult Women: Report of a Case Series and Review of   the Literature.  </w:t>
            </w:r>
            <w:r>
              <w:rPr>
                <w:b/>
                <w:i/>
              </w:rPr>
              <w:t>American Journal of Surgical Pathology</w:t>
            </w:r>
            <w:r>
              <w:t>, 2013; 37: 344-55</w:t>
            </w:r>
          </w:p>
          <w:p>
            <w:pPr>
              <w:widowControl w:val="0"/>
              <w:tabs>
                <w:tab w:val="left" w:pos="9360"/>
              </w:tabs>
              <w:autoSpaceDE w:val="0"/>
              <w:autoSpaceDN w:val="0"/>
              <w:adjustRightInd w:val="0"/>
              <w:ind w:left="-90" w:right="1080"/>
            </w:pPr>
          </w:p>
          <w:p>
            <w:pPr>
              <w:tabs>
                <w:tab w:val="left" w:pos="180"/>
                <w:tab w:val="left" w:pos="9070"/>
                <w:tab w:val="left" w:pos="9360"/>
              </w:tabs>
              <w:autoSpaceDE w:val="0"/>
              <w:autoSpaceDN w:val="0"/>
              <w:adjustRightInd w:val="0"/>
              <w:ind w:left="720" w:leftChars="200" w:right="1080" w:hanging="240" w:hangingChars="100"/>
              <w:jc w:val="both"/>
            </w:pPr>
            <w:r>
              <w:rPr>
                <w:rFonts w:hint="eastAsia"/>
                <w:lang w:eastAsia="zh-CN"/>
              </w:rPr>
              <w:t xml:space="preserve">8. </w:t>
            </w:r>
            <w:r>
              <w:t xml:space="preserve">Ye, YQ, Pu, DH, Liu, JY, </w:t>
            </w:r>
            <w:r>
              <w:rPr>
                <w:b/>
              </w:rPr>
              <w:t>Li, FH,</w:t>
            </w:r>
            <w:r>
              <w:t xml:space="preserve"> Cui, YG, Wu, J. Adiponectin gene polymorphisams may not be associated with idiopathic premature ovarian failure. </w:t>
            </w:r>
            <w:r>
              <w:rPr>
                <w:b/>
                <w:i/>
              </w:rPr>
              <w:t>Gene,</w:t>
            </w:r>
            <w:r>
              <w:t xml:space="preserve"> 2013 (518) 262-266. </w:t>
            </w: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color w:val="000000"/>
                <w:kern w:val="0"/>
                <w:sz w:val="22"/>
              </w:rPr>
            </w:pPr>
            <w:r>
              <w:rPr>
                <w:rFonts w:hint="eastAsia" w:ascii="宋体" w:hAnsi="宋体" w:eastAsia="宋体" w:cs="宋体"/>
                <w:b/>
                <w:color w:val="000000"/>
                <w:kern w:val="0"/>
                <w:sz w:val="22"/>
              </w:rPr>
              <w:t>近三年所获科研奖励</w:t>
            </w: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restart"/>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r>
      <w:tr>
        <w:tblPrEx>
          <w:tblLayout w:type="fixed"/>
          <w:tblCellMar>
            <w:top w:w="0" w:type="dxa"/>
            <w:left w:w="108" w:type="dxa"/>
            <w:bottom w:w="0" w:type="dxa"/>
            <w:right w:w="108" w:type="dxa"/>
          </w:tblCellMar>
        </w:tblPrEx>
        <w:trPr>
          <w:trHeight w:val="2550" w:hRule="atLeast"/>
        </w:trPr>
        <w:tc>
          <w:tcPr>
            <w:tcW w:w="10682" w:type="dxa"/>
            <w:gridSpan w:val="19"/>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000000"/>
                <w:kern w:val="0"/>
                <w:sz w:val="22"/>
              </w:rPr>
            </w:pPr>
          </w:p>
        </w:tc>
      </w:tr>
    </w:tbl>
    <w:p>
      <w:pPr>
        <w:rPr>
          <w:b/>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10" w:usb3="00000000" w:csb0="00040000" w:csb1="00000000"/>
  </w:font>
  <w:font w:name="Shaker2Lancet-Bold">
    <w:altName w:val="宋体"/>
    <w:panose1 w:val="00000000000000000000"/>
    <w:charset w:val="86"/>
    <w:family w:val="auto"/>
    <w:pitch w:val="default"/>
    <w:sig w:usb0="00000000" w:usb1="00000000" w:usb2="00000010" w:usb3="00000000" w:csb0="00040000" w:csb1="00000000"/>
  </w:font>
  <w:font w:name="Times">
    <w:altName w:val="Times New Roman"/>
    <w:panose1 w:val="02020603050405020304"/>
    <w:charset w:val="00"/>
    <w:family w:val="auto"/>
    <w:pitch w:val="default"/>
    <w:sig w:usb0="00000000" w:usb1="00000000" w:usb2="00000000" w:usb3="00000000" w:csb0="00000001" w:csb1="00000000"/>
  </w:font>
  <w:font w:name="Lucida Grande">
    <w:altName w:val="Times New Roman"/>
    <w:panose1 w:val="00000000000000000000"/>
    <w:charset w:val="00"/>
    <w:family w:val="auto"/>
    <w:pitch w:val="default"/>
    <w:sig w:usb0="00000000" w:usb1="00000000" w:usb2="00000000" w:usb3="00000000" w:csb0="000001BF" w:csb1="00000000"/>
  </w:font>
  <w:font w:name="Book Antiqua">
    <w:altName w:val="Segoe Print"/>
    <w:panose1 w:val="02040602050305030304"/>
    <w:charset w:val="00"/>
    <w:family w:val="modern"/>
    <w:pitch w:val="default"/>
    <w:sig w:usb0="00000000" w:usb1="00000000" w:usb2="00000000" w:usb3="00000000" w:csb0="0000009F" w:csb1="00000000"/>
  </w:font>
  <w:font w:name="Verdana">
    <w:panose1 w:val="020B0604030504040204"/>
    <w:charset w:val="00"/>
    <w:family w:val="decorative"/>
    <w:pitch w:val="default"/>
    <w:sig w:usb0="A10006FF" w:usb1="4000205B" w:usb2="00000010" w:usb3="00000000" w:csb0="2000019F" w:csb1="00000000"/>
  </w:font>
  <w:font w:name="Courier New">
    <w:panose1 w:val="02070309020205020404"/>
    <w:charset w:val="00"/>
    <w:family w:val="swiss"/>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decorative"/>
    <w:pitch w:val="default"/>
    <w:sig w:usb0="00000000" w:usb1="00000000" w:usb2="00000010" w:usb3="00000000" w:csb0="00040000" w:csb1="00000000"/>
  </w:font>
  <w:font w:name="Book Antiqua">
    <w:altName w:val="Segoe Print"/>
    <w:panose1 w:val="02040602050305030304"/>
    <w:charset w:val="00"/>
    <w:family w:val="swiss"/>
    <w:pitch w:val="default"/>
    <w:sig w:usb0="00000000" w:usb1="00000000" w:usb2="00000000" w:usb3="00000000" w:csb0="0000009F" w:csb1="00000000"/>
  </w:font>
  <w:font w:name="Verdana">
    <w:panose1 w:val="020B0604030504040204"/>
    <w:charset w:val="00"/>
    <w:family w:val="roman"/>
    <w:pitch w:val="default"/>
    <w:sig w:usb0="A10006FF" w:usb1="4000205B" w:usb2="00000010" w:usb3="00000000" w:csb0="2000019F" w:csb1="00000000"/>
  </w:font>
  <w:font w:name="Courier New">
    <w:panose1 w:val="02070309020205020404"/>
    <w:charset w:val="00"/>
    <w:family w:val="decorative"/>
    <w:pitch w:val="default"/>
    <w:sig w:usb0="E0002EFF" w:usb1="C0007843" w:usb2="00000009" w:usb3="00000000" w:csb0="400001FF" w:csb1="FFFF0000"/>
  </w:font>
  <w:font w:name="楷体">
    <w:panose1 w:val="02010609060101010101"/>
    <w:charset w:val="86"/>
    <w:family w:val="decorative"/>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TimesNewRomanPS-BoldItalicMT">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roman"/>
    <w:pitch w:val="default"/>
    <w:sig w:usb0="0000028F" w:usb1="00000000" w:usb2="00000000" w:usb3="00000000" w:csb0="2000009F" w:csb1="47010000"/>
  </w:font>
  <w:font w:name="楷体_GB2312">
    <w:altName w:val="楷体"/>
    <w:panose1 w:val="00000000000000000000"/>
    <w:charset w:val="86"/>
    <w:family w:val="roman"/>
    <w:pitch w:val="default"/>
    <w:sig w:usb0="00000000" w:usb1="00000000" w:usb2="00000010" w:usb3="00000000" w:csb0="00040000" w:csb1="00000000"/>
  </w:font>
  <w:font w:name="Book Antiqua">
    <w:altName w:val="Segoe Print"/>
    <w:panose1 w:val="02040602050305030304"/>
    <w:charset w:val="00"/>
    <w:family w:val="decorative"/>
    <w:pitch w:val="default"/>
    <w:sig w:usb0="00000000" w:usb1="00000000" w:usb2="00000000" w:usb3="00000000" w:csb0="0000009F" w:csb1="00000000"/>
  </w:font>
  <w:font w:name="Verdana">
    <w:panose1 w:val="020B0604030504040204"/>
    <w:charset w:val="00"/>
    <w:family w:val="modern"/>
    <w:pitch w:val="default"/>
    <w:sig w:usb0="A10006FF" w:usb1="4000205B" w:usb2="00000010" w:usb3="00000000" w:csb0="2000019F" w:csb1="00000000"/>
  </w:font>
  <w:font w:name="Courier New">
    <w:panose1 w:val="02070309020205020404"/>
    <w:charset w:val="00"/>
    <w:family w:val="roman"/>
    <w:pitch w:val="default"/>
    <w:sig w:usb0="E0002EFF" w:usb1="C0007843" w:usb2="00000009" w:usb3="00000000" w:csb0="400001FF" w:csb1="FFFF0000"/>
  </w:font>
  <w:font w:name="楷体">
    <w:panose1 w:val="02010609060101010101"/>
    <w:charset w:val="86"/>
    <w:family w:val="roman"/>
    <w:pitch w:val="default"/>
    <w:sig w:usb0="800002BF" w:usb1="38CF7CFA" w:usb2="00000016" w:usb3="00000000" w:csb0="00040001" w:csb1="00000000"/>
  </w:font>
  <w:font w:name="TimesNewRomanPSMT">
    <w:altName w:val="Times New Roman"/>
    <w:panose1 w:val="00000000000000000000"/>
    <w:charset w:val="00"/>
    <w:family w:val="modern"/>
    <w:pitch w:val="default"/>
    <w:sig w:usb0="00000000" w:usb1="00000000" w:usb2="00000000" w:usb3="00000000" w:csb0="00000001" w:csb1="00000000"/>
  </w:font>
  <w:font w:name="TimesNewRomanPS-BoldItalicMT">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modern"/>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swiss"/>
    <w:pitch w:val="default"/>
    <w:sig w:usb0="00000000" w:usb1="00000000" w:usb2="00000000" w:usb3="00000000" w:csb0="00000001" w:csb1="00000000"/>
  </w:font>
  <w:font w:name="TimesNewRomanPS-BoldItalicM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swiss"/>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7594677">
    <w:nsid w:val="56E12135"/>
    <w:multiLevelType w:val="singleLevel"/>
    <w:tmpl w:val="56E12135"/>
    <w:lvl w:ilvl="0" w:tentative="1">
      <w:start w:val="1"/>
      <w:numFmt w:val="decimal"/>
      <w:suff w:val="space"/>
      <w:lvlText w:val="%1."/>
      <w:lvlJc w:val="left"/>
    </w:lvl>
  </w:abstractNum>
  <w:abstractNum w:abstractNumId="1457620103">
    <w:nsid w:val="56E18487"/>
    <w:multiLevelType w:val="singleLevel"/>
    <w:tmpl w:val="56E18487"/>
    <w:lvl w:ilvl="0" w:tentative="1">
      <w:start w:val="1"/>
      <w:numFmt w:val="decimal"/>
      <w:suff w:val="nothing"/>
      <w:lvlText w:val="%1）"/>
      <w:lvlJc w:val="left"/>
    </w:lvl>
  </w:abstractNum>
  <w:abstractNum w:abstractNumId="1810782342">
    <w:nsid w:val="6BEE5886"/>
    <w:multiLevelType w:val="multilevel"/>
    <w:tmpl w:val="6BEE5886"/>
    <w:lvl w:ilvl="0" w:tentative="1">
      <w:start w:val="1"/>
      <w:numFmt w:val="decimal"/>
      <w:lvlText w:val="%1."/>
      <w:lvlJc w:val="left"/>
      <w:pPr>
        <w:ind w:left="773" w:hanging="360"/>
      </w:pPr>
    </w:lvl>
    <w:lvl w:ilvl="1" w:tentative="1">
      <w:start w:val="1"/>
      <w:numFmt w:val="lowerLetter"/>
      <w:lvlText w:val="%2."/>
      <w:lvlJc w:val="left"/>
      <w:pPr>
        <w:ind w:left="1493" w:hanging="360"/>
      </w:pPr>
    </w:lvl>
    <w:lvl w:ilvl="2" w:tentative="1">
      <w:start w:val="1"/>
      <w:numFmt w:val="lowerRoman"/>
      <w:lvlText w:val="%3."/>
      <w:lvlJc w:val="right"/>
      <w:pPr>
        <w:ind w:left="2213" w:hanging="180"/>
      </w:pPr>
    </w:lvl>
    <w:lvl w:ilvl="3" w:tentative="1">
      <w:start w:val="1"/>
      <w:numFmt w:val="decimal"/>
      <w:lvlText w:val="%4."/>
      <w:lvlJc w:val="left"/>
      <w:pPr>
        <w:ind w:left="2933" w:hanging="360"/>
      </w:pPr>
    </w:lvl>
    <w:lvl w:ilvl="4" w:tentative="1">
      <w:start w:val="1"/>
      <w:numFmt w:val="lowerLetter"/>
      <w:lvlText w:val="%5."/>
      <w:lvlJc w:val="left"/>
      <w:pPr>
        <w:ind w:left="3653" w:hanging="360"/>
      </w:pPr>
    </w:lvl>
    <w:lvl w:ilvl="5" w:tentative="1">
      <w:start w:val="1"/>
      <w:numFmt w:val="lowerRoman"/>
      <w:lvlText w:val="%6."/>
      <w:lvlJc w:val="right"/>
      <w:pPr>
        <w:ind w:left="4373" w:hanging="180"/>
      </w:pPr>
    </w:lvl>
    <w:lvl w:ilvl="6" w:tentative="1">
      <w:start w:val="1"/>
      <w:numFmt w:val="decimal"/>
      <w:lvlText w:val="%7."/>
      <w:lvlJc w:val="left"/>
      <w:pPr>
        <w:ind w:left="5093" w:hanging="360"/>
      </w:pPr>
    </w:lvl>
    <w:lvl w:ilvl="7" w:tentative="1">
      <w:start w:val="1"/>
      <w:numFmt w:val="lowerLetter"/>
      <w:lvlText w:val="%8."/>
      <w:lvlJc w:val="left"/>
      <w:pPr>
        <w:ind w:left="5813" w:hanging="360"/>
      </w:pPr>
    </w:lvl>
    <w:lvl w:ilvl="8" w:tentative="1">
      <w:start w:val="1"/>
      <w:numFmt w:val="lowerRoman"/>
      <w:lvlText w:val="%9."/>
      <w:lvlJc w:val="right"/>
      <w:pPr>
        <w:ind w:left="6533" w:hanging="180"/>
      </w:pPr>
    </w:lvl>
  </w:abstractNum>
  <w:abstractNum w:abstractNumId="1457623626">
    <w:nsid w:val="56E1924A"/>
    <w:multiLevelType w:val="singleLevel"/>
    <w:tmpl w:val="56E1924A"/>
    <w:lvl w:ilvl="0" w:tentative="1">
      <w:start w:val="1"/>
      <w:numFmt w:val="decimal"/>
      <w:suff w:val="nothing"/>
      <w:lvlText w:val="%1."/>
      <w:lvlJc w:val="left"/>
    </w:lvl>
  </w:abstractNum>
  <w:num w:numId="1">
    <w:abstractNumId w:val="1457620103"/>
  </w:num>
  <w:num w:numId="2">
    <w:abstractNumId w:val="1457623626"/>
  </w:num>
  <w:num w:numId="3">
    <w:abstractNumId w:val="1457594677"/>
  </w:num>
  <w:num w:numId="4">
    <w:abstractNumId w:val="18107823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C1301"/>
    <w:rsid w:val="00207CC0"/>
    <w:rsid w:val="002324BF"/>
    <w:rsid w:val="002524BA"/>
    <w:rsid w:val="0065043B"/>
    <w:rsid w:val="00742B2A"/>
    <w:rsid w:val="007461E0"/>
    <w:rsid w:val="007470F1"/>
    <w:rsid w:val="00831D1A"/>
    <w:rsid w:val="00895077"/>
    <w:rsid w:val="008C42EF"/>
    <w:rsid w:val="008D2153"/>
    <w:rsid w:val="009D4EF3"/>
    <w:rsid w:val="00AC7D1A"/>
    <w:rsid w:val="00CE18FB"/>
    <w:rsid w:val="00D2710E"/>
    <w:rsid w:val="00D33B0E"/>
    <w:rsid w:val="00D6112C"/>
    <w:rsid w:val="01043138"/>
    <w:rsid w:val="14974454"/>
    <w:rsid w:val="20986689"/>
    <w:rsid w:val="2141581D"/>
    <w:rsid w:val="22C16F92"/>
    <w:rsid w:val="26914755"/>
    <w:rsid w:val="38062527"/>
    <w:rsid w:val="48826B33"/>
    <w:rsid w:val="4CEC18C2"/>
    <w:rsid w:val="5117649A"/>
    <w:rsid w:val="5B2F68D8"/>
    <w:rsid w:val="69407E39"/>
    <w:rsid w:val="69EC37D4"/>
    <w:rsid w:val="6AFC1413"/>
    <w:rsid w:val="6E1F57B8"/>
    <w:rsid w:val="6FAD5273"/>
    <w:rsid w:val="717E613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character" w:customStyle="1" w:styleId="9">
    <w:name w:val="sqm_title"/>
    <w:basedOn w:val="4"/>
    <w:uiPriority w:val="0"/>
  </w:style>
  <w:style w:type="paragraph" w:customStyle="1" w:styleId="10">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 w:type="paragraph" w:customStyle="1" w:styleId="11">
    <w:name w:val="List Paragraph"/>
    <w:basedOn w:val="1"/>
    <w:qFormat/>
    <w:uiPriority w:val="0"/>
    <w:pPr>
      <w:ind w:left="720"/>
      <w:contextualSpacing/>
    </w:pPr>
  </w:style>
  <w:style w:type="character" w:customStyle="1" w:styleId="12">
    <w:name w:val="highlight"/>
    <w:basedOn w:val="4"/>
    <w:qFormat/>
    <w:uiPriority w:val="0"/>
  </w:style>
  <w:style w:type="character" w:customStyle="1" w:styleId="13">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74</Words>
  <Characters>426</Characters>
  <Lines>3</Lines>
  <Paragraphs>1</Paragraphs>
  <ScaleCrop>false</ScaleCrop>
  <LinksUpToDate>false</LinksUpToDate>
  <CharactersWithSpaces>499</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2016-03-09T08:13:00Z</dcterms:created>
  <dc:creator>Administrator</dc:creator>
  <cp:lastModifiedBy>Administrator</cp:lastModifiedBy>
  <dcterms:modified xsi:type="dcterms:W3CDTF">2016-03-10T15:32:50Z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