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
    <w:tbl>
      <w:tblPr>
        <w:tblStyle w:val="6"/>
        <w:tblW w:w="10682" w:type="dxa"/>
        <w:tblInd w:w="0" w:type="dxa"/>
        <w:tblLayout w:type="fixed"/>
        <w:tblCellMar>
          <w:top w:w="0" w:type="dxa"/>
          <w:left w:w="108" w:type="dxa"/>
          <w:bottom w:w="0" w:type="dxa"/>
          <w:right w:w="108" w:type="dxa"/>
        </w:tblCellMar>
      </w:tblPr>
      <w:tblGrid>
        <w:gridCol w:w="1519"/>
        <w:gridCol w:w="564"/>
        <w:gridCol w:w="566"/>
        <w:gridCol w:w="575"/>
        <w:gridCol w:w="282"/>
        <w:gridCol w:w="852"/>
        <w:gridCol w:w="143"/>
        <w:gridCol w:w="842"/>
        <w:gridCol w:w="152"/>
        <w:gridCol w:w="996"/>
        <w:gridCol w:w="284"/>
        <w:gridCol w:w="359"/>
        <w:gridCol w:w="776"/>
        <w:gridCol w:w="6"/>
        <w:gridCol w:w="414"/>
        <w:gridCol w:w="152"/>
        <w:gridCol w:w="993"/>
        <w:gridCol w:w="1207"/>
      </w:tblGrid>
      <w:tr>
        <w:tblPrEx>
          <w:tblLayout w:type="fixed"/>
          <w:tblCellMar>
            <w:top w:w="0" w:type="dxa"/>
            <w:left w:w="108" w:type="dxa"/>
            <w:bottom w:w="0" w:type="dxa"/>
            <w:right w:w="108" w:type="dxa"/>
          </w:tblCellMar>
        </w:tblPrEx>
        <w:trPr>
          <w:trHeight w:val="624" w:hRule="atLeast"/>
        </w:trPr>
        <w:tc>
          <w:tcPr>
            <w:tcW w:w="10682" w:type="dxa"/>
            <w:gridSpan w:val="18"/>
            <w:vMerge w:val="restart"/>
            <w:tcBorders>
              <w:top w:val="nil"/>
              <w:bottom w:val="single" w:color="auto" w:sz="4" w:space="0"/>
            </w:tcBorders>
            <w:shd w:val="clear" w:color="auto" w:fill="auto"/>
            <w:vAlign w:val="center"/>
          </w:tcPr>
          <w:p>
            <w:pPr>
              <w:widowControl/>
              <w:jc w:val="center"/>
              <w:rPr>
                <w:rFonts w:ascii="黑体" w:hAnsi="黑体" w:eastAsia="黑体" w:cs="宋体"/>
                <w:b/>
                <w:bCs/>
                <w:color w:val="000000"/>
                <w:kern w:val="0"/>
                <w:sz w:val="36"/>
                <w:szCs w:val="36"/>
              </w:rPr>
            </w:pPr>
            <w:bookmarkStart w:id="0" w:name="RANGE!A1:K56"/>
            <w:r>
              <w:rPr>
                <w:rFonts w:hint="eastAsia" w:ascii="黑体" w:hAnsi="黑体" w:eastAsia="黑体" w:cs="宋体"/>
                <w:b/>
                <w:bCs/>
                <w:color w:val="000000"/>
                <w:kern w:val="0"/>
                <w:sz w:val="36"/>
                <w:szCs w:val="36"/>
              </w:rPr>
              <w:t>华南理工大学医学院</w:t>
            </w:r>
            <w:r>
              <w:rPr>
                <w:rFonts w:hint="eastAsia" w:ascii="黑体" w:hAnsi="黑体" w:eastAsia="黑体" w:cs="宋体"/>
                <w:b/>
                <w:bCs/>
                <w:color w:val="000000"/>
                <w:kern w:val="0"/>
                <w:sz w:val="36"/>
                <w:szCs w:val="36"/>
              </w:rPr>
              <w:br w:type="textWrapping"/>
            </w:r>
            <w:r>
              <w:rPr>
                <w:rFonts w:hint="eastAsia" w:ascii="黑体" w:hAnsi="黑体" w:eastAsia="黑体" w:cs="宋体"/>
                <w:b/>
                <w:bCs/>
                <w:color w:val="000000"/>
                <w:kern w:val="0"/>
                <w:sz w:val="36"/>
                <w:szCs w:val="36"/>
              </w:rPr>
              <w:t>2016年硕士研究生导师招生信息表</w:t>
            </w:r>
            <w:bookmarkEnd w:id="0"/>
          </w:p>
        </w:tc>
      </w:tr>
      <w:tr>
        <w:tblPrEx>
          <w:tblLayout w:type="fixed"/>
          <w:tblCellMar>
            <w:top w:w="0" w:type="dxa"/>
            <w:left w:w="108" w:type="dxa"/>
            <w:bottom w:w="0" w:type="dxa"/>
            <w:right w:w="108" w:type="dxa"/>
          </w:tblCellMar>
        </w:tblPrEx>
        <w:trPr>
          <w:trHeight w:val="624" w:hRule="atLeast"/>
        </w:trPr>
        <w:tc>
          <w:tcPr>
            <w:tcW w:w="10682" w:type="dxa"/>
            <w:gridSpan w:val="18"/>
            <w:vMerge w:val="continue"/>
            <w:tcBorders>
              <w:top w:val="single" w:color="auto" w:sz="4" w:space="0"/>
              <w:bottom w:val="single" w:color="auto" w:sz="4" w:space="0"/>
            </w:tcBorders>
            <w:vAlign w:val="center"/>
          </w:tcPr>
          <w:p>
            <w:pPr>
              <w:widowControl/>
              <w:jc w:val="left"/>
              <w:rPr>
                <w:rFonts w:ascii="宋体" w:hAnsi="宋体" w:eastAsia="宋体" w:cs="宋体"/>
                <w:b/>
                <w:bCs/>
                <w:color w:val="000000"/>
                <w:kern w:val="0"/>
                <w:sz w:val="32"/>
                <w:szCs w:val="32"/>
              </w:rPr>
            </w:pPr>
          </w:p>
        </w:tc>
      </w:tr>
      <w:tr>
        <w:tblPrEx>
          <w:tblLayout w:type="fixed"/>
          <w:tblCellMar>
            <w:top w:w="0" w:type="dxa"/>
            <w:left w:w="108" w:type="dxa"/>
            <w:bottom w:w="0" w:type="dxa"/>
            <w:right w:w="108" w:type="dxa"/>
          </w:tblCellMar>
        </w:tblPrEx>
        <w:trPr>
          <w:trHeight w:val="624" w:hRule="atLeast"/>
        </w:trPr>
        <w:tc>
          <w:tcPr>
            <w:tcW w:w="10682" w:type="dxa"/>
            <w:gridSpan w:val="18"/>
            <w:vMerge w:val="continue"/>
            <w:tcBorders>
              <w:top w:val="single" w:color="auto" w:sz="4" w:space="0"/>
              <w:bottom w:val="single" w:color="auto" w:sz="4" w:space="0"/>
            </w:tcBorders>
            <w:vAlign w:val="center"/>
          </w:tcPr>
          <w:p>
            <w:pPr>
              <w:widowControl/>
              <w:jc w:val="left"/>
              <w:rPr>
                <w:rFonts w:ascii="宋体" w:hAnsi="宋体" w:eastAsia="宋体" w:cs="宋体"/>
                <w:b/>
                <w:bCs/>
                <w:color w:val="000000"/>
                <w:kern w:val="0"/>
                <w:sz w:val="32"/>
                <w:szCs w:val="32"/>
              </w:rPr>
            </w:pPr>
          </w:p>
        </w:tc>
      </w:tr>
      <w:tr>
        <w:tblPrEx>
          <w:tblLayout w:type="fixed"/>
          <w:tblCellMar>
            <w:top w:w="0" w:type="dxa"/>
            <w:left w:w="108" w:type="dxa"/>
            <w:bottom w:w="0" w:type="dxa"/>
            <w:right w:w="108" w:type="dxa"/>
          </w:tblCellMar>
        </w:tblPrEx>
        <w:trPr>
          <w:trHeight w:val="634" w:hRule="atLeast"/>
        </w:trPr>
        <w:tc>
          <w:tcPr>
            <w:tcW w:w="1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姓名</w:t>
            </w:r>
          </w:p>
        </w:tc>
        <w:tc>
          <w:tcPr>
            <w:tcW w:w="11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刘佳</w:t>
            </w:r>
          </w:p>
        </w:tc>
        <w:tc>
          <w:tcPr>
            <w:tcW w:w="857"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性别</w:t>
            </w:r>
          </w:p>
        </w:tc>
        <w:tc>
          <w:tcPr>
            <w:tcW w:w="1837" w:type="dxa"/>
            <w:gridSpan w:val="3"/>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女</w:t>
            </w:r>
          </w:p>
        </w:tc>
        <w:tc>
          <w:tcPr>
            <w:tcW w:w="11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出生年月</w:t>
            </w:r>
          </w:p>
        </w:tc>
        <w:tc>
          <w:tcPr>
            <w:tcW w:w="199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1961年1月</w:t>
            </w:r>
          </w:p>
        </w:tc>
        <w:tc>
          <w:tcPr>
            <w:tcW w:w="22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drawing>
                <wp:inline distT="0" distB="0" distL="114300" distR="114300">
                  <wp:extent cx="1443355" cy="2288540"/>
                  <wp:effectExtent l="0" t="0" r="4445" b="16510"/>
                  <wp:docPr id="1" name="图片 1" descr="IMG_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1431"/>
                          <pic:cNvPicPr>
                            <a:picLocks noChangeAspect="1"/>
                          </pic:cNvPicPr>
                        </pic:nvPicPr>
                        <pic:blipFill>
                          <a:blip r:embed="rId4"/>
                          <a:stretch>
                            <a:fillRect/>
                          </a:stretch>
                        </pic:blipFill>
                        <pic:spPr>
                          <a:xfrm>
                            <a:off x="0" y="0"/>
                            <a:ext cx="1443355" cy="2288540"/>
                          </a:xfrm>
                          <a:prstGeom prst="rect">
                            <a:avLst/>
                          </a:prstGeom>
                        </pic:spPr>
                      </pic:pic>
                    </a:graphicData>
                  </a:graphic>
                </wp:inline>
              </w:drawing>
            </w:r>
            <w:r>
              <w:rPr>
                <w:rFonts w:hint="eastAsia" w:ascii="宋体" w:hAnsi="宋体" w:eastAsia="宋体" w:cs="宋体"/>
                <w:color w:val="000000"/>
                <w:kern w:val="0"/>
                <w:sz w:val="22"/>
              </w:rPr>
              <w:t>片</w:t>
            </w:r>
          </w:p>
        </w:tc>
      </w:tr>
      <w:tr>
        <w:tblPrEx>
          <w:tblLayout w:type="fixed"/>
          <w:tblCellMar>
            <w:top w:w="0" w:type="dxa"/>
            <w:left w:w="108" w:type="dxa"/>
            <w:bottom w:w="0" w:type="dxa"/>
            <w:right w:w="108" w:type="dxa"/>
          </w:tblCellMar>
        </w:tblPrEx>
        <w:trPr>
          <w:trHeight w:val="997" w:hRule="atLeast"/>
        </w:trPr>
        <w:tc>
          <w:tcPr>
            <w:tcW w:w="151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专业技术职称、定级时间</w:t>
            </w:r>
          </w:p>
        </w:tc>
        <w:tc>
          <w:tcPr>
            <w:tcW w:w="11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lang w:eastAsia="zh-CN"/>
              </w:rPr>
              <w:t>二级</w:t>
            </w:r>
            <w:r>
              <w:rPr>
                <w:rFonts w:hint="eastAsia" w:ascii="宋体" w:hAnsi="宋体" w:eastAsia="宋体" w:cs="宋体"/>
                <w:color w:val="000000"/>
                <w:kern w:val="0"/>
                <w:sz w:val="22"/>
              </w:rPr>
              <w:t>教授（1998）</w:t>
            </w:r>
          </w:p>
        </w:tc>
        <w:tc>
          <w:tcPr>
            <w:tcW w:w="857"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现任职务</w:t>
            </w:r>
          </w:p>
        </w:tc>
        <w:tc>
          <w:tcPr>
            <w:tcW w:w="183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医学院副院长</w:t>
            </w:r>
          </w:p>
        </w:tc>
        <w:tc>
          <w:tcPr>
            <w:tcW w:w="1148"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工作单位</w:t>
            </w:r>
          </w:p>
        </w:tc>
        <w:tc>
          <w:tcPr>
            <w:tcW w:w="199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医学院</w:t>
            </w:r>
          </w:p>
        </w:tc>
        <w:tc>
          <w:tcPr>
            <w:tcW w:w="2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5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both"/>
              <w:rPr>
                <w:rFonts w:ascii="宋体" w:hAnsi="宋体" w:eastAsia="宋体" w:cs="宋体"/>
                <w:color w:val="000000"/>
                <w:kern w:val="0"/>
                <w:sz w:val="22"/>
              </w:rPr>
            </w:pPr>
            <w:r>
              <w:rPr>
                <w:rFonts w:hint="eastAsia" w:ascii="宋体" w:hAnsi="宋体" w:eastAsia="宋体" w:cs="宋体"/>
                <w:color w:val="000000"/>
                <w:kern w:val="0"/>
                <w:sz w:val="22"/>
              </w:rPr>
              <w:t>最后学位及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获得时间</w:t>
            </w:r>
          </w:p>
        </w:tc>
        <w:tc>
          <w:tcPr>
            <w:tcW w:w="1987"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博士研究生</w:t>
            </w:r>
          </w:p>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（1994）</w:t>
            </w:r>
          </w:p>
          <w:p>
            <w:pPr>
              <w:widowControl/>
              <w:jc w:val="center"/>
              <w:rPr>
                <w:rFonts w:ascii="宋体" w:hAnsi="宋体" w:eastAsia="宋体" w:cs="宋体"/>
                <w:color w:val="000000"/>
                <w:kern w:val="0"/>
                <w:sz w:val="22"/>
              </w:rPr>
            </w:pPr>
          </w:p>
        </w:tc>
        <w:tc>
          <w:tcPr>
            <w:tcW w:w="1837"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获最高学位学校名称及获得时间</w:t>
            </w:r>
          </w:p>
          <w:p>
            <w:pPr>
              <w:widowControl/>
              <w:jc w:val="center"/>
              <w:rPr>
                <w:rFonts w:ascii="宋体" w:hAnsi="宋体" w:eastAsia="宋体" w:cs="宋体"/>
                <w:color w:val="000000"/>
                <w:kern w:val="0"/>
                <w:sz w:val="22"/>
              </w:rPr>
            </w:pPr>
          </w:p>
        </w:tc>
        <w:tc>
          <w:tcPr>
            <w:tcW w:w="3139" w:type="dxa"/>
            <w:gridSpan w:val="8"/>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瑞士洛桑大学医学院</w:t>
            </w:r>
          </w:p>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w:t>
            </w:r>
            <w:r>
              <w:rPr>
                <w:rFonts w:hint="eastAsia" w:ascii="宋体" w:hAnsi="宋体" w:eastAsia="宋体" w:cs="宋体"/>
                <w:color w:val="000000"/>
                <w:kern w:val="0"/>
                <w:sz w:val="22"/>
                <w:lang w:val="en-US" w:eastAsia="zh-CN"/>
              </w:rPr>
              <w:t>1994年</w:t>
            </w:r>
            <w:r>
              <w:rPr>
                <w:rFonts w:hint="eastAsia" w:ascii="宋体" w:hAnsi="宋体" w:eastAsia="宋体" w:cs="宋体"/>
                <w:color w:val="000000"/>
                <w:kern w:val="0"/>
                <w:sz w:val="22"/>
                <w:lang w:eastAsia="zh-CN"/>
              </w:rPr>
              <w:t>）</w:t>
            </w:r>
          </w:p>
        </w:tc>
        <w:tc>
          <w:tcPr>
            <w:tcW w:w="2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51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987"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837" w:type="dxa"/>
            <w:gridSpan w:val="3"/>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3139" w:type="dxa"/>
            <w:gridSpan w:val="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996" w:hRule="atLeast"/>
        </w:trPr>
        <w:tc>
          <w:tcPr>
            <w:tcW w:w="151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987"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837" w:type="dxa"/>
            <w:gridSpan w:val="3"/>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3139" w:type="dxa"/>
            <w:gridSpan w:val="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20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51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招生专业</w:t>
            </w:r>
          </w:p>
        </w:tc>
        <w:tc>
          <w:tcPr>
            <w:tcW w:w="1987"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肿瘤学</w:t>
            </w:r>
          </w:p>
        </w:tc>
        <w:tc>
          <w:tcPr>
            <w:tcW w:w="1837"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143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18819265040</w:t>
            </w:r>
          </w:p>
        </w:tc>
        <w:tc>
          <w:tcPr>
            <w:tcW w:w="1141"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电子邮箱</w:t>
            </w:r>
          </w:p>
        </w:tc>
        <w:tc>
          <w:tcPr>
            <w:tcW w:w="2766"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rPr>
                <w:rStyle w:val="5"/>
                <w:rFonts w:hint="eastAsia"/>
              </w:rPr>
            </w:pPr>
            <w:r>
              <w:fldChar w:fldCharType="begin"/>
            </w:r>
            <w:r>
              <w:instrText xml:space="preserve"> HYPERLINK "mailto:jialiudl@aliyun.com" </w:instrText>
            </w:r>
            <w:r>
              <w:fldChar w:fldCharType="separate"/>
            </w:r>
            <w:r>
              <w:rPr>
                <w:rStyle w:val="5"/>
                <w:rFonts w:hint="eastAsia" w:ascii="宋体" w:hAnsi="宋体" w:eastAsia="宋体" w:cs="宋体"/>
                <w:kern w:val="0"/>
                <w:sz w:val="22"/>
              </w:rPr>
              <w:t>jialiudl@aliyun.com</w:t>
            </w:r>
            <w:r>
              <w:rPr>
                <w:rStyle w:val="5"/>
                <w:rFonts w:hint="eastAsia" w:ascii="宋体" w:hAnsi="宋体" w:eastAsia="宋体" w:cs="宋体"/>
                <w:kern w:val="0"/>
                <w:sz w:val="22"/>
              </w:rPr>
              <w:fldChar w:fldCharType="end"/>
            </w:r>
          </w:p>
          <w:p>
            <w:pPr>
              <w:shd w:val="clear" w:color="auto" w:fill="FFFFFF"/>
              <w:spacing w:line="420" w:lineRule="atLeast"/>
              <w:rPr>
                <w:rStyle w:val="5"/>
              </w:rPr>
            </w:pPr>
            <w:r>
              <w:rPr>
                <w:rStyle w:val="5"/>
                <w:rFonts w:hint="eastAsia"/>
              </w:rPr>
              <w:t>mcliujia</w:t>
            </w:r>
            <w:r>
              <w:rPr>
                <w:rStyle w:val="5"/>
              </w:rPr>
              <w:t>@scut.edu.cn</w:t>
            </w:r>
          </w:p>
          <w:p>
            <w:pPr>
              <w:widowControl/>
              <w:jc w:val="center"/>
              <w:rPr>
                <w:rStyle w:val="5"/>
              </w:rPr>
            </w:pPr>
          </w:p>
        </w:tc>
      </w:tr>
      <w:tr>
        <w:tblPrEx>
          <w:tblLayout w:type="fixed"/>
          <w:tblCellMar>
            <w:top w:w="0" w:type="dxa"/>
            <w:left w:w="108" w:type="dxa"/>
            <w:bottom w:w="0" w:type="dxa"/>
            <w:right w:w="108" w:type="dxa"/>
          </w:tblCellMar>
        </w:tblPrEx>
        <w:trPr>
          <w:trHeight w:val="514" w:hRule="atLeast"/>
        </w:trPr>
        <w:tc>
          <w:tcPr>
            <w:tcW w:w="1519"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987"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837" w:type="dxa"/>
            <w:gridSpan w:val="3"/>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43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141" w:type="dxa"/>
            <w:gridSpan w:val="3"/>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766" w:type="dxa"/>
            <w:gridSpan w:val="4"/>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所在单位、院系</w:t>
            </w:r>
          </w:p>
        </w:tc>
        <w:tc>
          <w:tcPr>
            <w:tcW w:w="8599" w:type="dxa"/>
            <w:gridSpan w:val="16"/>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rPr>
            </w:pPr>
            <w:r>
              <w:rPr>
                <w:rFonts w:hint="eastAsia" w:ascii="宋体" w:hAnsi="宋体" w:eastAsia="宋体" w:cs="宋体"/>
                <w:color w:val="000000"/>
                <w:kern w:val="0"/>
                <w:sz w:val="22"/>
              </w:rPr>
              <w:t>华工医学院</w:t>
            </w:r>
          </w:p>
        </w:tc>
      </w:tr>
      <w:tr>
        <w:tblPrEx>
          <w:tblLayout w:type="fixed"/>
          <w:tblCellMar>
            <w:top w:w="0" w:type="dxa"/>
            <w:left w:w="108" w:type="dxa"/>
            <w:bottom w:w="0" w:type="dxa"/>
            <w:right w:w="108" w:type="dxa"/>
          </w:tblCellMar>
        </w:tblPrEx>
        <w:trPr>
          <w:trHeight w:val="536"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8599" w:type="dxa"/>
            <w:gridSpan w:val="1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学科、专业名称</w:t>
            </w:r>
          </w:p>
        </w:tc>
        <w:tc>
          <w:tcPr>
            <w:tcW w:w="8599" w:type="dxa"/>
            <w:gridSpan w:val="16"/>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临床医学 肿瘤学专业</w:t>
            </w:r>
          </w:p>
        </w:tc>
      </w:tr>
      <w:tr>
        <w:tblPrEx>
          <w:tblLayout w:type="fixed"/>
          <w:tblCellMar>
            <w:top w:w="0" w:type="dxa"/>
            <w:left w:w="108" w:type="dxa"/>
            <w:bottom w:w="0" w:type="dxa"/>
            <w:right w:w="108" w:type="dxa"/>
          </w:tblCellMar>
        </w:tblPrEx>
        <w:trPr>
          <w:trHeight w:val="435"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8599" w:type="dxa"/>
            <w:gridSpan w:val="1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465" w:hRule="atLeast"/>
        </w:trPr>
        <w:tc>
          <w:tcPr>
            <w:tcW w:w="2083"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本年度拟招生人数</w:t>
            </w:r>
          </w:p>
        </w:tc>
        <w:tc>
          <w:tcPr>
            <w:tcW w:w="114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博士生</w:t>
            </w:r>
          </w:p>
        </w:tc>
        <w:tc>
          <w:tcPr>
            <w:tcW w:w="2271"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硕士生</w:t>
            </w:r>
          </w:p>
        </w:tc>
        <w:tc>
          <w:tcPr>
            <w:tcW w:w="1280"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境外研究生</w:t>
            </w:r>
          </w:p>
        </w:tc>
        <w:tc>
          <w:tcPr>
            <w:tcW w:w="1135"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港澳台</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研究生</w:t>
            </w:r>
          </w:p>
        </w:tc>
        <w:tc>
          <w:tcPr>
            <w:tcW w:w="1565" w:type="dxa"/>
            <w:gridSpan w:val="4"/>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非全日制硕士</w:t>
            </w:r>
          </w:p>
        </w:tc>
        <w:tc>
          <w:tcPr>
            <w:tcW w:w="120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合计</w:t>
            </w:r>
          </w:p>
        </w:tc>
      </w:tr>
      <w:tr>
        <w:tblPrEx>
          <w:tblLayout w:type="fixed"/>
          <w:tblCellMar>
            <w:top w:w="0" w:type="dxa"/>
            <w:left w:w="108" w:type="dxa"/>
            <w:bottom w:w="0" w:type="dxa"/>
            <w:right w:w="108" w:type="dxa"/>
          </w:tblCellMar>
        </w:tblPrEx>
        <w:trPr>
          <w:trHeight w:val="465" w:hRule="atLeast"/>
        </w:trPr>
        <w:tc>
          <w:tcPr>
            <w:tcW w:w="208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2"/>
              </w:rPr>
            </w:pPr>
          </w:p>
        </w:tc>
        <w:tc>
          <w:tcPr>
            <w:tcW w:w="11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学术型</w:t>
            </w:r>
          </w:p>
        </w:tc>
        <w:tc>
          <w:tcPr>
            <w:tcW w:w="1137"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专业型</w:t>
            </w:r>
          </w:p>
        </w:tc>
        <w:tc>
          <w:tcPr>
            <w:tcW w:w="1280"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color w:val="000000"/>
                <w:kern w:val="0"/>
                <w:sz w:val="22"/>
              </w:rPr>
            </w:pPr>
          </w:p>
        </w:tc>
        <w:tc>
          <w:tcPr>
            <w:tcW w:w="1135"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color w:val="000000"/>
                <w:kern w:val="0"/>
                <w:sz w:val="22"/>
              </w:rPr>
            </w:pPr>
          </w:p>
        </w:tc>
        <w:tc>
          <w:tcPr>
            <w:tcW w:w="1565" w:type="dxa"/>
            <w:gridSpan w:val="4"/>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2"/>
              </w:rPr>
            </w:pPr>
          </w:p>
        </w:tc>
        <w:tc>
          <w:tcPr>
            <w:tcW w:w="1207"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823" w:hRule="atLeast"/>
        </w:trPr>
        <w:tc>
          <w:tcPr>
            <w:tcW w:w="2083"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color w:val="000000"/>
                <w:kern w:val="0"/>
                <w:sz w:val="22"/>
              </w:rPr>
            </w:pPr>
          </w:p>
        </w:tc>
        <w:tc>
          <w:tcPr>
            <w:tcW w:w="114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w:t>
            </w:r>
          </w:p>
        </w:tc>
        <w:tc>
          <w:tcPr>
            <w:tcW w:w="1137"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tc>
        <w:tc>
          <w:tcPr>
            <w:tcW w:w="12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tc>
        <w:tc>
          <w:tcPr>
            <w:tcW w:w="1135"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tc>
        <w:tc>
          <w:tcPr>
            <w:tcW w:w="1565" w:type="dxa"/>
            <w:gridSpan w:val="4"/>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p>
        </w:tc>
        <w:tc>
          <w:tcPr>
            <w:tcW w:w="120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本人主要研究方向</w:t>
            </w:r>
          </w:p>
          <w:p>
            <w:pPr>
              <w:widowControl/>
              <w:jc w:val="center"/>
              <w:rPr>
                <w:rFonts w:ascii="宋体" w:hAnsi="宋体" w:eastAsia="宋体" w:cs="宋体"/>
                <w:color w:val="000000"/>
                <w:kern w:val="0"/>
                <w:sz w:val="22"/>
              </w:rPr>
            </w:pPr>
          </w:p>
        </w:tc>
        <w:tc>
          <w:tcPr>
            <w:tcW w:w="8599" w:type="dxa"/>
            <w:gridSpan w:val="16"/>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r>
              <w:rPr>
                <w:rFonts w:hint="eastAsia"/>
              </w:rPr>
              <w:t>肿瘤生物学与实验治疗学</w:t>
            </w:r>
          </w:p>
          <w:p>
            <w:pPr>
              <w:widowControl/>
              <w:jc w:val="center"/>
              <w:rPr>
                <w:rFonts w:ascii="宋体" w:hAnsi="宋体" w:eastAsia="宋体" w:cs="宋体"/>
                <w:color w:val="000000"/>
                <w:kern w:val="0"/>
                <w:sz w:val="22"/>
              </w:rPr>
            </w:pPr>
          </w:p>
          <w:p>
            <w:pPr>
              <w:widowControl/>
              <w:jc w:val="both"/>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8599" w:type="dxa"/>
            <w:gridSpan w:val="1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1394"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8599" w:type="dxa"/>
            <w:gridSpan w:val="1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center"/>
              <w:rPr>
                <w:rFonts w:hint="eastAsia" w:ascii="宋体" w:hAnsi="宋体" w:eastAsia="宋体" w:cs="宋体"/>
                <w:color w:val="000000"/>
                <w:kern w:val="0"/>
                <w:sz w:val="22"/>
              </w:rPr>
            </w:pPr>
          </w:p>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招生方向及</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对考生要求</w:t>
            </w:r>
          </w:p>
          <w:p>
            <w:pPr>
              <w:widowControl/>
              <w:jc w:val="center"/>
              <w:rPr>
                <w:rFonts w:ascii="宋体" w:hAnsi="宋体" w:eastAsia="宋体" w:cs="宋体"/>
                <w:color w:val="000000"/>
                <w:kern w:val="0"/>
                <w:sz w:val="22"/>
              </w:rPr>
            </w:pPr>
          </w:p>
        </w:tc>
        <w:tc>
          <w:tcPr>
            <w:tcW w:w="8599" w:type="dxa"/>
            <w:gridSpan w:val="16"/>
            <w:vMerge w:val="restart"/>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本科临床医学专业，英语6级。</w:t>
            </w:r>
          </w:p>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p>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599" w:type="dxa"/>
            <w:gridSpan w:val="16"/>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8599" w:type="dxa"/>
            <w:gridSpan w:val="16"/>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1005"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bCs/>
                <w:color w:val="000000"/>
                <w:kern w:val="0"/>
                <w:sz w:val="22"/>
              </w:rPr>
            </w:pPr>
          </w:p>
          <w:p>
            <w:pPr>
              <w:widowControl/>
              <w:jc w:val="center"/>
              <w:rPr>
                <w:rFonts w:hint="eastAsia" w:ascii="宋体" w:hAnsi="宋体" w:eastAsia="宋体" w:cs="宋体"/>
                <w:b/>
                <w:bCs/>
                <w:color w:val="000000"/>
                <w:kern w:val="0"/>
                <w:sz w:val="22"/>
              </w:rPr>
            </w:pPr>
            <w:r>
              <w:rPr>
                <w:rFonts w:hint="eastAsia" w:ascii="宋体" w:hAnsi="宋体" w:eastAsia="宋体" w:cs="宋体"/>
                <w:b/>
                <w:bCs/>
                <w:color w:val="000000"/>
                <w:kern w:val="0"/>
                <w:sz w:val="22"/>
              </w:rPr>
              <w:t>个人简历</w:t>
            </w:r>
            <w:r>
              <w:rPr>
                <w:rFonts w:hint="eastAsia" w:ascii="宋体" w:hAnsi="宋体" w:eastAsia="宋体" w:cs="宋体"/>
                <w:b/>
                <w:bCs/>
                <w:color w:val="000000"/>
                <w:kern w:val="0"/>
                <w:sz w:val="22"/>
              </w:rPr>
              <w:br w:type="textWrapping"/>
            </w:r>
            <w:r>
              <w:rPr>
                <w:rFonts w:hint="eastAsia" w:ascii="宋体" w:hAnsi="宋体" w:eastAsia="宋体" w:cs="宋体"/>
                <w:b/>
                <w:bCs/>
                <w:color w:val="000000"/>
                <w:kern w:val="0"/>
                <w:sz w:val="22"/>
              </w:rPr>
              <w:t>（300字）</w:t>
            </w:r>
          </w:p>
          <w:p>
            <w:pPr>
              <w:widowControl/>
              <w:jc w:val="center"/>
              <w:rPr>
                <w:rFonts w:ascii="宋体" w:hAnsi="宋体" w:eastAsia="宋体" w:cs="宋体"/>
                <w:color w:val="000000"/>
                <w:kern w:val="0"/>
                <w:sz w:val="22"/>
              </w:rPr>
            </w:pPr>
          </w:p>
        </w:tc>
        <w:tc>
          <w:tcPr>
            <w:tcW w:w="8599" w:type="dxa"/>
            <w:gridSpan w:val="16"/>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color w:val="000000"/>
                <w:kern w:val="0"/>
                <w:sz w:val="24"/>
                <w:szCs w:val="24"/>
                <w:lang w:val="en-US" w:eastAsia="zh-CN"/>
              </w:rPr>
            </w:pPr>
            <w:r>
              <w:rPr>
                <w:rFonts w:ascii="宋体" w:hAnsi="宋体" w:eastAsia="宋体" w:cs="宋体"/>
                <w:color w:val="000000"/>
                <w:kern w:val="0"/>
                <w:sz w:val="24"/>
                <w:szCs w:val="24"/>
              </w:rPr>
              <w:t>1978-1983</w:t>
            </w:r>
            <w:r>
              <w:rPr>
                <w:rFonts w:hint="eastAsia" w:ascii="宋体" w:hAnsi="宋体" w:eastAsia="宋体" w:cs="宋体"/>
                <w:color w:val="000000"/>
                <w:kern w:val="0"/>
                <w:sz w:val="24"/>
                <w:szCs w:val="24"/>
              </w:rPr>
              <w:t>：中国医科大学医疗系</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临床医学专业</w:t>
            </w:r>
            <w:r>
              <w:rPr>
                <w:rFonts w:hint="eastAsia" w:ascii="宋体" w:hAnsi="宋体" w:eastAsia="宋体" w:cs="宋体"/>
                <w:color w:val="000000"/>
                <w:kern w:val="0"/>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ascii="宋体" w:hAnsi="宋体" w:eastAsia="宋体" w:cs="宋体"/>
                <w:color w:val="000000"/>
                <w:kern w:val="0"/>
                <w:sz w:val="24"/>
                <w:szCs w:val="24"/>
              </w:rPr>
            </w:pPr>
            <w:r>
              <w:rPr>
                <w:rFonts w:ascii="宋体" w:hAnsi="宋体" w:eastAsia="宋体" w:cs="宋体"/>
                <w:color w:val="000000"/>
                <w:kern w:val="0"/>
                <w:sz w:val="24"/>
                <w:szCs w:val="24"/>
              </w:rPr>
              <w:t>1984-1986</w:t>
            </w:r>
            <w:r>
              <w:rPr>
                <w:rFonts w:hint="eastAsia" w:ascii="宋体" w:hAnsi="宋体" w:eastAsia="宋体" w:cs="宋体"/>
                <w:color w:val="000000"/>
                <w:kern w:val="0"/>
                <w:sz w:val="24"/>
                <w:szCs w:val="24"/>
              </w:rPr>
              <w:t>：沈阳红十字会医院</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医师</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color w:val="000000"/>
                <w:kern w:val="0"/>
                <w:sz w:val="24"/>
                <w:szCs w:val="24"/>
              </w:rPr>
            </w:pPr>
            <w:r>
              <w:rPr>
                <w:rFonts w:ascii="宋体" w:hAnsi="宋体" w:eastAsia="宋体" w:cs="宋体"/>
                <w:color w:val="000000"/>
                <w:kern w:val="0"/>
                <w:sz w:val="24"/>
                <w:szCs w:val="24"/>
              </w:rPr>
              <w:t>1987-1989</w:t>
            </w:r>
            <w:r>
              <w:rPr>
                <w:rFonts w:hint="eastAsia" w:ascii="宋体" w:hAnsi="宋体" w:eastAsia="宋体" w:cs="宋体"/>
                <w:color w:val="000000"/>
                <w:kern w:val="0"/>
                <w:sz w:val="24"/>
                <w:szCs w:val="24"/>
              </w:rPr>
              <w:t>：辽宁省基础医学研究所</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color w:val="000000"/>
                <w:kern w:val="0"/>
                <w:sz w:val="24"/>
                <w:szCs w:val="24"/>
              </w:rPr>
            </w:pPr>
            <w:r>
              <w:rPr>
                <w:rFonts w:ascii="宋体" w:hAnsi="宋体" w:eastAsia="宋体" w:cs="宋体"/>
                <w:color w:val="000000"/>
                <w:kern w:val="0"/>
                <w:sz w:val="24"/>
                <w:szCs w:val="24"/>
              </w:rPr>
              <w:t>1989-1992</w:t>
            </w:r>
            <w:r>
              <w:rPr>
                <w:rFonts w:hint="eastAsia" w:ascii="宋体" w:hAnsi="宋体" w:eastAsia="宋体" w:cs="宋体"/>
                <w:color w:val="000000"/>
                <w:kern w:val="0"/>
                <w:sz w:val="24"/>
                <w:szCs w:val="24"/>
              </w:rPr>
              <w:t>：日本癌症研究所</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color w:val="000000"/>
                <w:kern w:val="0"/>
                <w:sz w:val="24"/>
                <w:szCs w:val="24"/>
              </w:rPr>
            </w:pPr>
            <w:r>
              <w:rPr>
                <w:rFonts w:ascii="宋体" w:hAnsi="宋体" w:eastAsia="宋体" w:cs="宋体"/>
                <w:color w:val="000000"/>
                <w:kern w:val="0"/>
                <w:sz w:val="24"/>
                <w:szCs w:val="24"/>
              </w:rPr>
              <w:t>1992-1994</w:t>
            </w:r>
            <w:r>
              <w:rPr>
                <w:rFonts w:hint="eastAsia" w:ascii="宋体" w:hAnsi="宋体" w:eastAsia="宋体" w:cs="宋体"/>
                <w:color w:val="000000"/>
                <w:kern w:val="0"/>
                <w:sz w:val="24"/>
                <w:szCs w:val="24"/>
              </w:rPr>
              <w:t>：洛桑大学医学院</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color w:val="000000"/>
                <w:kern w:val="0"/>
                <w:sz w:val="24"/>
                <w:szCs w:val="24"/>
              </w:rPr>
            </w:pPr>
            <w:r>
              <w:rPr>
                <w:rFonts w:ascii="宋体" w:hAnsi="宋体" w:eastAsia="宋体" w:cs="宋体"/>
                <w:color w:val="000000"/>
                <w:kern w:val="0"/>
                <w:sz w:val="24"/>
                <w:szCs w:val="24"/>
              </w:rPr>
              <w:t>1994-2000</w:t>
            </w:r>
            <w:r>
              <w:rPr>
                <w:rFonts w:hint="eastAsia" w:ascii="宋体" w:hAnsi="宋体" w:eastAsia="宋体" w:cs="宋体"/>
                <w:color w:val="000000"/>
                <w:kern w:val="0"/>
                <w:sz w:val="24"/>
                <w:szCs w:val="24"/>
              </w:rPr>
              <w:t>：沈阳医学院</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color w:val="000000"/>
                <w:kern w:val="0"/>
                <w:sz w:val="24"/>
                <w:szCs w:val="24"/>
              </w:rPr>
            </w:pPr>
            <w:r>
              <w:rPr>
                <w:rFonts w:ascii="宋体" w:hAnsi="宋体" w:eastAsia="宋体" w:cs="宋体"/>
                <w:color w:val="000000"/>
                <w:kern w:val="0"/>
                <w:sz w:val="24"/>
                <w:szCs w:val="24"/>
              </w:rPr>
              <w:t>2001-</w:t>
            </w:r>
            <w:r>
              <w:rPr>
                <w:rFonts w:hint="eastAsia" w:ascii="宋体" w:hAnsi="宋体" w:eastAsia="宋体" w:cs="宋体"/>
                <w:color w:val="000000"/>
                <w:kern w:val="0"/>
                <w:sz w:val="24"/>
                <w:szCs w:val="24"/>
                <w:lang w:val="en-US" w:eastAsia="zh-CN"/>
              </w:rPr>
              <w:t>2015</w:t>
            </w:r>
            <w:r>
              <w:rPr>
                <w:rFonts w:hint="eastAsia" w:ascii="宋体" w:hAnsi="宋体" w:eastAsia="宋体" w:cs="宋体"/>
                <w:color w:val="000000"/>
                <w:kern w:val="0"/>
                <w:sz w:val="24"/>
                <w:szCs w:val="24"/>
              </w:rPr>
              <w:t>：大连医科大学</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2016-今：华南理工大学 医学院</w:t>
            </w:r>
          </w:p>
          <w:p>
            <w:pPr>
              <w:widowControl/>
              <w:jc w:val="left"/>
              <w:rPr>
                <w:rFonts w:ascii="宋体" w:hAnsi="宋体" w:eastAsia="宋体" w:cs="宋体"/>
                <w:color w:val="000000"/>
                <w:kern w:val="0"/>
                <w:sz w:val="22"/>
              </w:rPr>
            </w:pPr>
          </w:p>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1005"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8599" w:type="dxa"/>
            <w:gridSpan w:val="1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1134"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8599" w:type="dxa"/>
            <w:gridSpan w:val="16"/>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近三年承担</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的主要科研项目</w:t>
            </w:r>
          </w:p>
        </w:tc>
        <w:tc>
          <w:tcPr>
            <w:tcW w:w="2418"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项目来源</w:t>
            </w:r>
          </w:p>
        </w:tc>
        <w:tc>
          <w:tcPr>
            <w:tcW w:w="2633"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名称及编号</w:t>
            </w:r>
          </w:p>
        </w:tc>
        <w:tc>
          <w:tcPr>
            <w:tcW w:w="11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科研经费</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23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本人承担任务或排名</w:t>
            </w: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633"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1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418"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atLeast"/>
              <w:jc w:val="center"/>
              <w:rPr>
                <w:rFonts w:hint="eastAsia" w:ascii="宋体"/>
                <w:szCs w:val="21"/>
              </w:rPr>
            </w:pPr>
            <w:r>
              <w:rPr>
                <w:rFonts w:hint="eastAsia" w:ascii="宋体"/>
                <w:szCs w:val="21"/>
                <w:lang w:eastAsia="zh-CN"/>
              </w:rPr>
              <w:t>国家</w:t>
            </w:r>
            <w:r>
              <w:rPr>
                <w:rFonts w:hint="eastAsia" w:ascii="宋体"/>
                <w:szCs w:val="21"/>
              </w:rPr>
              <w:t>自然</w:t>
            </w:r>
            <w:r>
              <w:rPr>
                <w:rFonts w:hint="eastAsia" w:ascii="宋体"/>
                <w:szCs w:val="21"/>
                <w:lang w:eastAsia="zh-CN"/>
              </w:rPr>
              <w:t>科学基金</w:t>
            </w:r>
          </w:p>
          <w:p>
            <w:pPr>
              <w:widowControl/>
              <w:jc w:val="center"/>
              <w:rPr>
                <w:rFonts w:hint="eastAsia" w:ascii="宋体"/>
                <w:szCs w:val="21"/>
              </w:rPr>
            </w:pPr>
            <w:r>
              <w:rPr>
                <w:rFonts w:hint="eastAsia" w:ascii="宋体"/>
                <w:szCs w:val="21"/>
              </w:rPr>
              <w:t>2013.1-2016.12</w:t>
            </w:r>
          </w:p>
          <w:p>
            <w:pPr>
              <w:widowControl/>
              <w:jc w:val="center"/>
              <w:rPr>
                <w:rFonts w:hint="eastAsia" w:ascii="宋体"/>
                <w:szCs w:val="21"/>
              </w:rPr>
            </w:pPr>
          </w:p>
          <w:p>
            <w:pPr>
              <w:spacing w:line="320" w:lineRule="atLeast"/>
              <w:jc w:val="center"/>
              <w:rPr>
                <w:rFonts w:hint="eastAsia" w:ascii="宋体"/>
                <w:szCs w:val="21"/>
              </w:rPr>
            </w:pPr>
            <w:r>
              <w:rPr>
                <w:rFonts w:hint="eastAsia" w:ascii="宋体"/>
                <w:szCs w:val="21"/>
                <w:lang w:eastAsia="zh-CN"/>
              </w:rPr>
              <w:t>国家</w:t>
            </w:r>
            <w:r>
              <w:rPr>
                <w:rFonts w:hint="eastAsia" w:ascii="宋体"/>
                <w:szCs w:val="21"/>
              </w:rPr>
              <w:t>自然</w:t>
            </w:r>
            <w:r>
              <w:rPr>
                <w:rFonts w:hint="eastAsia" w:ascii="宋体"/>
                <w:szCs w:val="21"/>
                <w:lang w:eastAsia="zh-CN"/>
              </w:rPr>
              <w:t>科学基金</w:t>
            </w:r>
          </w:p>
          <w:p>
            <w:pPr>
              <w:spacing w:line="320" w:lineRule="atLeast"/>
              <w:jc w:val="center"/>
              <w:rPr>
                <w:rFonts w:hint="eastAsia" w:ascii="宋体"/>
                <w:szCs w:val="21"/>
              </w:rPr>
            </w:pPr>
            <w:r>
              <w:rPr>
                <w:rFonts w:hint="eastAsia" w:ascii="宋体"/>
                <w:szCs w:val="21"/>
              </w:rPr>
              <w:t>2015.1-2015.12</w:t>
            </w:r>
          </w:p>
          <w:p>
            <w:pPr>
              <w:spacing w:line="320" w:lineRule="atLeast"/>
              <w:jc w:val="center"/>
              <w:rPr>
                <w:rFonts w:hint="eastAsia" w:ascii="宋体"/>
                <w:szCs w:val="21"/>
              </w:rPr>
            </w:pPr>
          </w:p>
          <w:p>
            <w:pPr>
              <w:spacing w:line="320" w:lineRule="atLeast"/>
              <w:jc w:val="center"/>
              <w:rPr>
                <w:rFonts w:hint="eastAsia" w:ascii="宋体" w:eastAsiaTheme="minorEastAsia"/>
                <w:szCs w:val="21"/>
                <w:lang w:eastAsia="zh-CN"/>
              </w:rPr>
            </w:pPr>
            <w:r>
              <w:rPr>
                <w:rFonts w:hint="eastAsia" w:ascii="宋体"/>
                <w:szCs w:val="21"/>
                <w:lang w:eastAsia="zh-CN"/>
              </w:rPr>
              <w:t>国家博士点基金</w:t>
            </w:r>
          </w:p>
          <w:p>
            <w:pPr>
              <w:spacing w:line="320" w:lineRule="atLeast"/>
              <w:jc w:val="center"/>
              <w:rPr>
                <w:rFonts w:hint="eastAsia" w:ascii="宋体"/>
                <w:szCs w:val="21"/>
              </w:rPr>
            </w:pPr>
            <w:r>
              <w:rPr>
                <w:rFonts w:hint="eastAsia" w:ascii="宋体"/>
                <w:szCs w:val="21"/>
              </w:rPr>
              <w:t>2014.1-2016.12</w:t>
            </w:r>
          </w:p>
          <w:p>
            <w:pPr>
              <w:spacing w:line="320" w:lineRule="atLeast"/>
              <w:jc w:val="center"/>
              <w:rPr>
                <w:rFonts w:hint="eastAsia" w:ascii="宋体"/>
                <w:szCs w:val="21"/>
              </w:rPr>
            </w:pPr>
          </w:p>
          <w:p>
            <w:pPr>
              <w:spacing w:line="320" w:lineRule="atLeast"/>
              <w:jc w:val="center"/>
              <w:rPr>
                <w:rFonts w:hint="eastAsia" w:ascii="宋体"/>
                <w:szCs w:val="21"/>
              </w:rPr>
            </w:pPr>
            <w:r>
              <w:rPr>
                <w:rFonts w:hint="eastAsia" w:ascii="宋体"/>
                <w:szCs w:val="21"/>
                <w:lang w:eastAsia="zh-CN"/>
              </w:rPr>
              <w:t>国家</w:t>
            </w:r>
            <w:r>
              <w:rPr>
                <w:rFonts w:hint="eastAsia" w:ascii="宋体"/>
                <w:szCs w:val="21"/>
              </w:rPr>
              <w:t>自然</w:t>
            </w:r>
            <w:r>
              <w:rPr>
                <w:rFonts w:hint="eastAsia" w:ascii="宋体"/>
                <w:szCs w:val="21"/>
                <w:lang w:eastAsia="zh-CN"/>
              </w:rPr>
              <w:t>科学基金</w:t>
            </w:r>
          </w:p>
          <w:p>
            <w:pPr>
              <w:spacing w:line="320" w:lineRule="atLeast"/>
              <w:jc w:val="center"/>
              <w:rPr>
                <w:rFonts w:ascii="宋体" w:hAnsi="宋体" w:eastAsia="宋体" w:cs="宋体"/>
                <w:color w:val="000000"/>
                <w:kern w:val="0"/>
                <w:sz w:val="22"/>
              </w:rPr>
            </w:pPr>
            <w:r>
              <w:rPr>
                <w:rFonts w:hint="eastAsia" w:ascii="宋体"/>
                <w:szCs w:val="21"/>
              </w:rPr>
              <w:t>2010.1-2012</w:t>
            </w:r>
          </w:p>
        </w:tc>
        <w:tc>
          <w:tcPr>
            <w:tcW w:w="2633"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atLeast"/>
              <w:jc w:val="left"/>
              <w:rPr>
                <w:rFonts w:hint="eastAsia" w:ascii="宋体"/>
                <w:szCs w:val="21"/>
              </w:rPr>
            </w:pPr>
          </w:p>
          <w:p>
            <w:pPr>
              <w:spacing w:line="320" w:lineRule="atLeast"/>
              <w:jc w:val="left"/>
              <w:rPr>
                <w:rFonts w:hint="eastAsia" w:ascii="宋体"/>
                <w:szCs w:val="21"/>
              </w:rPr>
            </w:pPr>
          </w:p>
          <w:p>
            <w:pPr>
              <w:spacing w:line="320" w:lineRule="atLeast"/>
              <w:jc w:val="left"/>
              <w:rPr>
                <w:rFonts w:hint="eastAsia" w:ascii="宋体"/>
                <w:szCs w:val="21"/>
              </w:rPr>
            </w:pPr>
          </w:p>
          <w:p>
            <w:pPr>
              <w:spacing w:line="320" w:lineRule="atLeast"/>
              <w:jc w:val="left"/>
              <w:rPr>
                <w:rFonts w:hint="eastAsia" w:ascii="宋体"/>
                <w:szCs w:val="21"/>
              </w:rPr>
            </w:pPr>
          </w:p>
          <w:p>
            <w:pPr>
              <w:spacing w:line="320" w:lineRule="atLeast"/>
              <w:jc w:val="left"/>
              <w:rPr>
                <w:rFonts w:hint="eastAsia" w:ascii="宋体"/>
                <w:szCs w:val="21"/>
              </w:rPr>
            </w:pPr>
            <w:r>
              <w:rPr>
                <w:rFonts w:hint="eastAsia" w:ascii="宋体"/>
                <w:szCs w:val="21"/>
              </w:rPr>
              <w:t>白藜芦醇对髓母细胞瘤STAT3负调控因子表达的调节作用及治疗学意义</w:t>
            </w:r>
          </w:p>
          <w:p>
            <w:pPr>
              <w:spacing w:line="320" w:lineRule="atLeast"/>
              <w:jc w:val="left"/>
              <w:rPr>
                <w:rFonts w:hint="eastAsia" w:ascii="宋体"/>
                <w:szCs w:val="21"/>
              </w:rPr>
            </w:pPr>
          </w:p>
          <w:p>
            <w:pPr>
              <w:spacing w:line="320" w:lineRule="atLeast"/>
              <w:rPr>
                <w:rFonts w:hint="eastAsia" w:ascii="宋体"/>
                <w:szCs w:val="21"/>
              </w:rPr>
            </w:pPr>
            <w:r>
              <w:rPr>
                <w:rFonts w:hint="eastAsia" w:ascii="宋体"/>
                <w:szCs w:val="21"/>
              </w:rPr>
              <w:t>全反式维甲酸敏感和耐受髓母细胞瘤的蛋白质组解析</w:t>
            </w:r>
          </w:p>
          <w:p>
            <w:pPr>
              <w:spacing w:line="320" w:lineRule="atLeast"/>
              <w:rPr>
                <w:rFonts w:hint="eastAsia" w:ascii="宋体"/>
                <w:szCs w:val="21"/>
              </w:rPr>
            </w:pPr>
          </w:p>
          <w:p>
            <w:pPr>
              <w:spacing w:line="320" w:lineRule="atLeast"/>
              <w:rPr>
                <w:rFonts w:hint="eastAsia" w:ascii="宋体"/>
                <w:szCs w:val="21"/>
              </w:rPr>
            </w:pPr>
            <w:r>
              <w:rPr>
                <w:rFonts w:hint="eastAsia" w:ascii="宋体"/>
                <w:szCs w:val="21"/>
              </w:rPr>
              <w:t>CRABP2和FABP5介导的RA信号通路状态与胶质母细胞瘤维甲酸敏感性关系的研究</w:t>
            </w:r>
          </w:p>
          <w:p>
            <w:pPr>
              <w:spacing w:line="320" w:lineRule="atLeast"/>
              <w:rPr>
                <w:rFonts w:hint="eastAsia" w:ascii="宋体"/>
                <w:szCs w:val="21"/>
              </w:rPr>
            </w:pPr>
          </w:p>
          <w:p>
            <w:pPr>
              <w:spacing w:line="320" w:lineRule="atLeast"/>
              <w:jc w:val="left"/>
              <w:rPr>
                <w:rFonts w:hint="eastAsia" w:ascii="宋体"/>
                <w:szCs w:val="21"/>
              </w:rPr>
            </w:pPr>
            <w:r>
              <w:rPr>
                <w:rFonts w:hint="eastAsia" w:ascii="宋体"/>
                <w:szCs w:val="21"/>
              </w:rPr>
              <w:t>白藜芦醇对髓母细胞瘤相关信号转导网络的调节特点及其肿瘤治疗学意义</w:t>
            </w:r>
          </w:p>
          <w:p>
            <w:pPr>
              <w:spacing w:line="320" w:lineRule="atLeast"/>
              <w:rPr>
                <w:rFonts w:hint="eastAsia" w:ascii="宋体"/>
                <w:szCs w:val="21"/>
              </w:rPr>
            </w:pPr>
          </w:p>
          <w:p>
            <w:pPr>
              <w:spacing w:line="320" w:lineRule="atLeast"/>
              <w:jc w:val="left"/>
              <w:rPr>
                <w:rFonts w:hint="eastAsia" w:ascii="宋体"/>
                <w:szCs w:val="21"/>
              </w:rPr>
            </w:pPr>
          </w:p>
          <w:p>
            <w:pPr>
              <w:widowControl/>
              <w:jc w:val="center"/>
              <w:rPr>
                <w:rFonts w:ascii="宋体" w:hAnsi="宋体" w:eastAsia="宋体" w:cs="宋体"/>
                <w:color w:val="000000"/>
                <w:kern w:val="0"/>
                <w:sz w:val="22"/>
              </w:rPr>
            </w:pPr>
          </w:p>
        </w:tc>
        <w:tc>
          <w:tcPr>
            <w:tcW w:w="11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20" w:lineRule="atLeast"/>
              <w:ind w:firstLine="420" w:firstLineChars="200"/>
              <w:rPr>
                <w:rFonts w:hint="eastAsia" w:ascii="宋体"/>
                <w:szCs w:val="21"/>
              </w:rPr>
            </w:pPr>
            <w:r>
              <w:rPr>
                <w:rFonts w:hint="eastAsia" w:ascii="宋体"/>
                <w:szCs w:val="21"/>
              </w:rPr>
              <w:t>70</w:t>
            </w:r>
          </w:p>
          <w:p>
            <w:pPr>
              <w:spacing w:line="320" w:lineRule="atLeast"/>
              <w:ind w:firstLine="420" w:firstLineChars="200"/>
              <w:rPr>
                <w:rFonts w:hint="eastAsia" w:ascii="宋体"/>
                <w:szCs w:val="21"/>
              </w:rPr>
            </w:pPr>
          </w:p>
          <w:p>
            <w:pPr>
              <w:spacing w:line="320" w:lineRule="atLeast"/>
              <w:jc w:val="center"/>
              <w:rPr>
                <w:rFonts w:hint="eastAsia" w:ascii="宋体"/>
                <w:szCs w:val="21"/>
              </w:rPr>
            </w:pPr>
            <w:r>
              <w:rPr>
                <w:rFonts w:hint="eastAsia" w:ascii="宋体"/>
                <w:szCs w:val="21"/>
              </w:rPr>
              <w:t>10</w:t>
            </w:r>
          </w:p>
          <w:p>
            <w:pPr>
              <w:spacing w:line="320" w:lineRule="atLeast"/>
              <w:jc w:val="center"/>
              <w:rPr>
                <w:rFonts w:hint="eastAsia" w:ascii="宋体"/>
                <w:szCs w:val="21"/>
              </w:rPr>
            </w:pPr>
            <w:r>
              <w:rPr>
                <w:rFonts w:hint="eastAsia" w:ascii="宋体"/>
                <w:szCs w:val="21"/>
              </w:rPr>
              <w:t>12</w:t>
            </w:r>
          </w:p>
          <w:p>
            <w:pPr>
              <w:spacing w:line="320" w:lineRule="atLeast"/>
              <w:jc w:val="center"/>
              <w:rPr>
                <w:rFonts w:hint="eastAsia" w:ascii="宋体"/>
                <w:szCs w:val="21"/>
              </w:rPr>
            </w:pPr>
          </w:p>
          <w:p>
            <w:pPr>
              <w:spacing w:line="320" w:lineRule="atLeast"/>
              <w:jc w:val="center"/>
              <w:rPr>
                <w:rFonts w:hint="eastAsia" w:ascii="宋体"/>
                <w:szCs w:val="21"/>
              </w:rPr>
            </w:pPr>
            <w:r>
              <w:rPr>
                <w:rFonts w:hint="eastAsia" w:ascii="宋体"/>
                <w:szCs w:val="21"/>
              </w:rPr>
              <w:t>32</w:t>
            </w:r>
          </w:p>
          <w:p>
            <w:pPr>
              <w:widowControl/>
              <w:jc w:val="center"/>
              <w:rPr>
                <w:rFonts w:ascii="宋体" w:hAnsi="宋体" w:eastAsia="宋体" w:cs="宋体"/>
                <w:color w:val="000000"/>
                <w:kern w:val="0"/>
                <w:sz w:val="22"/>
              </w:rPr>
            </w:pPr>
          </w:p>
        </w:tc>
        <w:tc>
          <w:tcPr>
            <w:tcW w:w="23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主持</w:t>
            </w:r>
          </w:p>
          <w:p>
            <w:pPr>
              <w:widowControl/>
              <w:jc w:val="center"/>
              <w:rPr>
                <w:rFonts w:hint="eastAsia" w:ascii="宋体" w:hAnsi="宋体" w:eastAsia="宋体" w:cs="宋体"/>
                <w:color w:val="000000"/>
                <w:kern w:val="0"/>
                <w:sz w:val="22"/>
                <w:lang w:eastAsia="zh-CN"/>
              </w:rPr>
            </w:pPr>
          </w:p>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主持</w:t>
            </w:r>
          </w:p>
          <w:p>
            <w:pPr>
              <w:widowControl/>
              <w:jc w:val="center"/>
              <w:rPr>
                <w:rFonts w:hint="eastAsia" w:ascii="宋体" w:hAnsi="宋体" w:eastAsia="宋体" w:cs="宋体"/>
                <w:color w:val="000000"/>
                <w:kern w:val="0"/>
                <w:sz w:val="22"/>
                <w:lang w:eastAsia="zh-CN"/>
              </w:rPr>
            </w:pPr>
          </w:p>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主持</w:t>
            </w:r>
          </w:p>
          <w:p>
            <w:pPr>
              <w:widowControl/>
              <w:jc w:val="center"/>
              <w:rPr>
                <w:rFonts w:hint="eastAsia" w:ascii="宋体" w:hAnsi="宋体" w:eastAsia="宋体" w:cs="宋体"/>
                <w:color w:val="000000"/>
                <w:kern w:val="0"/>
                <w:sz w:val="22"/>
                <w:lang w:eastAsia="zh-CN"/>
              </w:rPr>
            </w:pPr>
          </w:p>
          <w:p>
            <w:pPr>
              <w:widowControl/>
              <w:jc w:val="center"/>
              <w:rPr>
                <w:rFonts w:hint="eastAsia" w:ascii="宋体" w:hAnsi="宋体" w:eastAsia="宋体" w:cs="宋体"/>
                <w:color w:val="000000"/>
                <w:kern w:val="0"/>
                <w:sz w:val="22"/>
                <w:lang w:eastAsia="zh-CN"/>
              </w:rPr>
            </w:pPr>
            <w:r>
              <w:rPr>
                <w:rFonts w:hint="eastAsia" w:ascii="宋体" w:hAnsi="宋体" w:eastAsia="宋体" w:cs="宋体"/>
                <w:color w:val="000000"/>
                <w:kern w:val="0"/>
                <w:sz w:val="22"/>
                <w:lang w:eastAsia="zh-CN"/>
              </w:rPr>
              <w:t>主持</w:t>
            </w: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633"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1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633"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1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633"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1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633"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1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673" w:hRule="atLeast"/>
        </w:trPr>
        <w:tc>
          <w:tcPr>
            <w:tcW w:w="2083"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418"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633"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119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c>
          <w:tcPr>
            <w:tcW w:w="2352"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b/>
                <w:bCs/>
                <w:color w:val="000000"/>
                <w:kern w:val="0"/>
                <w:sz w:val="22"/>
              </w:rPr>
              <w:t>近三年发表SCI收录论文（题名、杂志或出版社、年/卷页）情况</w:t>
            </w:r>
          </w:p>
        </w:tc>
      </w:tr>
      <w:tr>
        <w:tblPrEx>
          <w:tblLayout w:type="fixed"/>
          <w:tblCellMar>
            <w:top w:w="0" w:type="dxa"/>
            <w:left w:w="108" w:type="dxa"/>
            <w:bottom w:w="0" w:type="dxa"/>
            <w:right w:w="108" w:type="dxa"/>
          </w:tblCellMar>
        </w:tblPrEx>
        <w:trPr>
          <w:trHeight w:val="356"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restart"/>
            <w:tcBorders>
              <w:top w:val="single" w:color="auto" w:sz="4" w:space="0"/>
              <w:left w:val="single" w:color="auto" w:sz="4" w:space="0"/>
              <w:bottom w:val="single" w:color="auto" w:sz="4" w:space="0"/>
              <w:right w:val="single" w:color="auto" w:sz="4" w:space="0"/>
            </w:tcBorders>
            <w:shd w:val="clear" w:color="auto" w:fill="auto"/>
            <w:vAlign w:val="bottom"/>
          </w:tcPr>
          <w:tbl>
            <w:tblPr>
              <w:tblStyle w:val="6"/>
              <w:tblW w:w="9674" w:type="dxa"/>
              <w:jc w:val="center"/>
              <w:tblInd w:w="84" w:type="dxa"/>
              <w:tblLayout w:type="fixed"/>
              <w:tblCellMar>
                <w:top w:w="0" w:type="dxa"/>
                <w:left w:w="28" w:type="dxa"/>
                <w:bottom w:w="0" w:type="dxa"/>
                <w:right w:w="28" w:type="dxa"/>
              </w:tblCellMar>
            </w:tblPr>
            <w:tblGrid>
              <w:gridCol w:w="604"/>
              <w:gridCol w:w="3244"/>
              <w:gridCol w:w="2253"/>
              <w:gridCol w:w="731"/>
              <w:gridCol w:w="1414"/>
              <w:gridCol w:w="840"/>
              <w:gridCol w:w="588"/>
            </w:tblGrid>
            <w:tr>
              <w:tblPrEx>
                <w:tblLayout w:type="fixed"/>
                <w:tblCellMar>
                  <w:top w:w="0" w:type="dxa"/>
                  <w:left w:w="28" w:type="dxa"/>
                  <w:bottom w:w="0" w:type="dxa"/>
                  <w:right w:w="28" w:type="dxa"/>
                </w:tblCellMar>
              </w:tblPrEx>
              <w:trPr>
                <w:cantSplit/>
                <w:trHeight w:val="777" w:hRule="atLeast"/>
                <w:jc w:val="center"/>
              </w:trPr>
              <w:tc>
                <w:tcPr>
                  <w:tcW w:w="604" w:type="dxa"/>
                  <w:tcBorders>
                    <w:top w:val="single" w:color="auto" w:sz="4" w:space="0"/>
                    <w:left w:val="single" w:color="auto" w:sz="4" w:space="0"/>
                    <w:bottom w:val="single" w:color="auto" w:sz="6" w:space="0"/>
                    <w:right w:val="single" w:color="auto" w:sz="6" w:space="0"/>
                  </w:tcBorders>
                  <w:vAlign w:val="center"/>
                </w:tcPr>
                <w:p>
                  <w:pPr>
                    <w:spacing w:line="240" w:lineRule="auto"/>
                    <w:jc w:val="center"/>
                    <w:rPr>
                      <w:rFonts w:hint="eastAsia" w:ascii="宋体" w:eastAsiaTheme="minorEastAsia"/>
                      <w:sz w:val="18"/>
                      <w:szCs w:val="18"/>
                      <w:lang w:val="en-US" w:eastAsia="zh-CN"/>
                    </w:rPr>
                  </w:pPr>
                  <w:r>
                    <w:rPr>
                      <w:rFonts w:hint="eastAsia" w:ascii="宋体"/>
                      <w:sz w:val="18"/>
                      <w:szCs w:val="18"/>
                      <w:lang w:val="en-US" w:eastAsia="zh-CN"/>
                    </w:rPr>
                    <w:t>1</w:t>
                  </w:r>
                </w:p>
              </w:tc>
              <w:tc>
                <w:tcPr>
                  <w:tcW w:w="3244"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rFonts w:eastAsia="楷体_GB2312"/>
                      <w:sz w:val="21"/>
                      <w:szCs w:val="20"/>
                    </w:rPr>
                    <w:t>CRABP-II Methylation: a critical determinant of retinoic acid resistance of medulloblastoma cells</w:t>
                  </w:r>
                </w:p>
              </w:tc>
              <w:tc>
                <w:tcPr>
                  <w:tcW w:w="2253"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rFonts w:eastAsia="楷体_GB2312"/>
                      <w:b/>
                      <w:bCs/>
                      <w:i/>
                      <w:iCs/>
                      <w:sz w:val="21"/>
                      <w:szCs w:val="20"/>
                    </w:rPr>
                    <w:t>Mol Oncol</w:t>
                  </w:r>
                </w:p>
              </w:tc>
              <w:tc>
                <w:tcPr>
                  <w:tcW w:w="73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color w:val="000000"/>
                      <w:sz w:val="21"/>
                      <w:szCs w:val="20"/>
                    </w:rPr>
                    <w:t>6 (1): 48-61</w:t>
                  </w:r>
                </w:p>
              </w:tc>
              <w:tc>
                <w:tcPr>
                  <w:tcW w:w="1414"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color w:val="000000"/>
                      <w:sz w:val="21"/>
                      <w:szCs w:val="20"/>
                    </w:rPr>
                    <w:t>2012</w:t>
                  </w:r>
                </w:p>
              </w:tc>
              <w:tc>
                <w:tcPr>
                  <w:tcW w:w="840"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sz w:val="18"/>
                      <w:szCs w:val="18"/>
                    </w:rPr>
                  </w:pPr>
                  <w:r>
                    <w:rPr>
                      <w:sz w:val="18"/>
                      <w:szCs w:val="18"/>
                    </w:rPr>
                    <w:t>SCI</w:t>
                  </w:r>
                </w:p>
                <w:p>
                  <w:pPr>
                    <w:spacing w:line="240" w:lineRule="auto"/>
                    <w:jc w:val="center"/>
                    <w:rPr>
                      <w:rFonts w:hint="eastAsia"/>
                      <w:sz w:val="18"/>
                      <w:szCs w:val="18"/>
                    </w:rPr>
                  </w:pPr>
                  <w:r>
                    <w:rPr>
                      <w:rFonts w:hint="eastAsia"/>
                      <w:sz w:val="18"/>
                      <w:szCs w:val="18"/>
                    </w:rPr>
                    <w:t>IF:6.74</w:t>
                  </w:r>
                </w:p>
              </w:tc>
              <w:tc>
                <w:tcPr>
                  <w:tcW w:w="588" w:type="dxa"/>
                  <w:tcBorders>
                    <w:top w:val="single" w:color="auto" w:sz="4" w:space="0"/>
                    <w:left w:val="single" w:color="auto" w:sz="6" w:space="0"/>
                    <w:bottom w:val="single" w:color="auto" w:sz="6" w:space="0"/>
                    <w:right w:val="single" w:color="auto" w:sz="6" w:space="0"/>
                  </w:tcBorders>
                  <w:vAlign w:val="center"/>
                </w:tcPr>
                <w:p>
                  <w:pPr>
                    <w:spacing w:line="240" w:lineRule="auto"/>
                    <w:jc w:val="center"/>
                    <w:rPr>
                      <w:sz w:val="18"/>
                      <w:szCs w:val="18"/>
                    </w:rPr>
                  </w:pPr>
                  <w:r>
                    <w:rPr>
                      <w:sz w:val="18"/>
                      <w:szCs w:val="18"/>
                    </w:rPr>
                    <w:t>通讯</w:t>
                  </w:r>
                </w:p>
              </w:tc>
            </w:tr>
            <w:tr>
              <w:tblPrEx>
                <w:tblLayout w:type="fixed"/>
                <w:tblCellMar>
                  <w:top w:w="0" w:type="dxa"/>
                  <w:left w:w="28" w:type="dxa"/>
                  <w:bottom w:w="0" w:type="dxa"/>
                  <w:right w:w="28" w:type="dxa"/>
                </w:tblCellMar>
              </w:tblPrEx>
              <w:trPr>
                <w:cantSplit/>
                <w:trHeight w:val="777" w:hRule="atLeast"/>
                <w:jc w:val="center"/>
              </w:trPr>
              <w:tc>
                <w:tcPr>
                  <w:tcW w:w="604" w:type="dxa"/>
                  <w:tcBorders>
                    <w:top w:val="single" w:color="auto" w:sz="4" w:space="0"/>
                    <w:left w:val="single" w:color="auto" w:sz="4" w:space="0"/>
                    <w:bottom w:val="single" w:color="auto" w:sz="6" w:space="0"/>
                    <w:right w:val="single" w:color="auto" w:sz="6" w:space="0"/>
                  </w:tcBorders>
                  <w:vAlign w:val="center"/>
                </w:tcPr>
                <w:p>
                  <w:pPr>
                    <w:spacing w:line="240" w:lineRule="auto"/>
                    <w:jc w:val="center"/>
                    <w:rPr>
                      <w:rFonts w:hint="eastAsia" w:ascii="宋体" w:eastAsiaTheme="minorEastAsia"/>
                      <w:sz w:val="18"/>
                      <w:szCs w:val="18"/>
                      <w:lang w:eastAsia="zh-CN"/>
                    </w:rPr>
                  </w:pPr>
                  <w:r>
                    <w:rPr>
                      <w:rFonts w:hint="eastAsia" w:ascii="宋体"/>
                      <w:sz w:val="18"/>
                      <w:szCs w:val="18"/>
                      <w:lang w:val="en-US" w:eastAsia="zh-CN"/>
                    </w:rPr>
                    <w:t>2</w:t>
                  </w:r>
                </w:p>
              </w:tc>
              <w:tc>
                <w:tcPr>
                  <w:tcW w:w="3244"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rFonts w:eastAsia="楷体_GB2312"/>
                      <w:sz w:val="21"/>
                      <w:szCs w:val="20"/>
                    </w:rPr>
                    <w:t>Distinct sulfonation activities in resveratrol-sensitive and resveratrol-insensitive human glioblastoma cells</w:t>
                  </w:r>
                </w:p>
              </w:tc>
              <w:tc>
                <w:tcPr>
                  <w:tcW w:w="2253"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rFonts w:eastAsia="楷体_GB2312"/>
                      <w:b/>
                      <w:i/>
                      <w:sz w:val="21"/>
                      <w:szCs w:val="20"/>
                    </w:rPr>
                    <w:t>FEBS J</w:t>
                  </w:r>
                </w:p>
              </w:tc>
              <w:tc>
                <w:tcPr>
                  <w:tcW w:w="73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sz w:val="21"/>
                      <w:szCs w:val="20"/>
                    </w:rPr>
                    <w:t>279(13):2381-92</w:t>
                  </w:r>
                </w:p>
              </w:tc>
              <w:tc>
                <w:tcPr>
                  <w:tcW w:w="1414"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sz w:val="21"/>
                      <w:szCs w:val="20"/>
                    </w:rPr>
                    <w:t>2012</w:t>
                  </w:r>
                </w:p>
              </w:tc>
              <w:tc>
                <w:tcPr>
                  <w:tcW w:w="840"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sz w:val="18"/>
                      <w:szCs w:val="18"/>
                    </w:rPr>
                  </w:pPr>
                  <w:r>
                    <w:rPr>
                      <w:sz w:val="18"/>
                      <w:szCs w:val="18"/>
                    </w:rPr>
                    <w:t>SCI</w:t>
                  </w:r>
                </w:p>
                <w:p>
                  <w:pPr>
                    <w:spacing w:line="240" w:lineRule="auto"/>
                    <w:jc w:val="center"/>
                    <w:rPr>
                      <w:rFonts w:hint="eastAsia"/>
                      <w:sz w:val="18"/>
                      <w:szCs w:val="18"/>
                    </w:rPr>
                  </w:pPr>
                  <w:r>
                    <w:rPr>
                      <w:rFonts w:hint="eastAsia"/>
                      <w:sz w:val="18"/>
                      <w:szCs w:val="18"/>
                    </w:rPr>
                    <w:t>IF:4.25</w:t>
                  </w:r>
                </w:p>
              </w:tc>
              <w:tc>
                <w:tcPr>
                  <w:tcW w:w="588" w:type="dxa"/>
                  <w:tcBorders>
                    <w:top w:val="single" w:color="auto" w:sz="4" w:space="0"/>
                    <w:left w:val="single" w:color="auto" w:sz="6" w:space="0"/>
                    <w:bottom w:val="single" w:color="auto" w:sz="6" w:space="0"/>
                    <w:right w:val="single" w:color="auto" w:sz="6" w:space="0"/>
                  </w:tcBorders>
                  <w:vAlign w:val="center"/>
                </w:tcPr>
                <w:p>
                  <w:pPr>
                    <w:spacing w:line="240" w:lineRule="auto"/>
                    <w:jc w:val="center"/>
                    <w:rPr>
                      <w:sz w:val="18"/>
                      <w:szCs w:val="18"/>
                    </w:rPr>
                  </w:pPr>
                  <w:r>
                    <w:rPr>
                      <w:sz w:val="18"/>
                      <w:szCs w:val="18"/>
                    </w:rPr>
                    <w:t>通讯</w:t>
                  </w:r>
                </w:p>
              </w:tc>
            </w:tr>
            <w:tr>
              <w:tblPrEx>
                <w:tblLayout w:type="fixed"/>
                <w:tblCellMar>
                  <w:top w:w="0" w:type="dxa"/>
                  <w:left w:w="28" w:type="dxa"/>
                  <w:bottom w:w="0" w:type="dxa"/>
                  <w:right w:w="28" w:type="dxa"/>
                </w:tblCellMar>
              </w:tblPrEx>
              <w:trPr>
                <w:cantSplit/>
                <w:trHeight w:val="777" w:hRule="atLeast"/>
                <w:jc w:val="center"/>
              </w:trPr>
              <w:tc>
                <w:tcPr>
                  <w:tcW w:w="604" w:type="dxa"/>
                  <w:tcBorders>
                    <w:top w:val="single" w:color="auto" w:sz="4" w:space="0"/>
                    <w:left w:val="single" w:color="auto" w:sz="4" w:space="0"/>
                    <w:bottom w:val="single" w:color="auto" w:sz="6" w:space="0"/>
                    <w:right w:val="single" w:color="auto" w:sz="6" w:space="0"/>
                  </w:tcBorders>
                  <w:vAlign w:val="center"/>
                </w:tcPr>
                <w:p>
                  <w:pPr>
                    <w:spacing w:line="240" w:lineRule="auto"/>
                    <w:jc w:val="center"/>
                    <w:rPr>
                      <w:rFonts w:hint="eastAsia" w:ascii="宋体" w:eastAsiaTheme="minorEastAsia"/>
                      <w:sz w:val="18"/>
                      <w:szCs w:val="18"/>
                      <w:lang w:eastAsia="zh-CN"/>
                    </w:rPr>
                  </w:pPr>
                  <w:r>
                    <w:rPr>
                      <w:rFonts w:hint="eastAsia" w:ascii="宋体"/>
                      <w:sz w:val="18"/>
                      <w:szCs w:val="18"/>
                      <w:lang w:val="en-US" w:eastAsia="zh-CN"/>
                    </w:rPr>
                    <w:t>3</w:t>
                  </w:r>
                </w:p>
              </w:tc>
              <w:tc>
                <w:tcPr>
                  <w:tcW w:w="3244"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rFonts w:eastAsia="楷体_GB2312"/>
                      <w:sz w:val="21"/>
                      <w:szCs w:val="20"/>
                    </w:rPr>
                    <w:t xml:space="preserve">Short-term resveratrol exposure causes in vitro and in vivo growth inhibition and apoptosis of bladder cancer cells. </w:t>
                  </w:r>
                </w:p>
              </w:tc>
              <w:tc>
                <w:tcPr>
                  <w:tcW w:w="2253"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rFonts w:eastAsia="楷体_GB2312"/>
                      <w:b/>
                      <w:i/>
                      <w:sz w:val="21"/>
                      <w:szCs w:val="20"/>
                    </w:rPr>
                    <w:t>PLoS ONE</w:t>
                  </w:r>
                </w:p>
              </w:tc>
              <w:tc>
                <w:tcPr>
                  <w:tcW w:w="73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sz w:val="21"/>
                      <w:szCs w:val="20"/>
                    </w:rPr>
                    <w:t>9(2): e89806</w:t>
                  </w:r>
                </w:p>
              </w:tc>
              <w:tc>
                <w:tcPr>
                  <w:tcW w:w="1414"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sz w:val="21"/>
                      <w:szCs w:val="20"/>
                    </w:rPr>
                    <w:t>2014</w:t>
                  </w:r>
                </w:p>
              </w:tc>
              <w:tc>
                <w:tcPr>
                  <w:tcW w:w="840"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sz w:val="18"/>
                      <w:szCs w:val="18"/>
                    </w:rPr>
                  </w:pPr>
                  <w:r>
                    <w:rPr>
                      <w:sz w:val="18"/>
                      <w:szCs w:val="18"/>
                    </w:rPr>
                    <w:t>SCI</w:t>
                  </w:r>
                </w:p>
                <w:p>
                  <w:pPr>
                    <w:spacing w:line="240" w:lineRule="auto"/>
                    <w:jc w:val="center"/>
                    <w:rPr>
                      <w:rFonts w:hint="eastAsia"/>
                      <w:sz w:val="18"/>
                      <w:szCs w:val="18"/>
                    </w:rPr>
                  </w:pPr>
                  <w:r>
                    <w:rPr>
                      <w:rFonts w:hint="eastAsia"/>
                      <w:sz w:val="18"/>
                      <w:szCs w:val="18"/>
                    </w:rPr>
                    <w:t>IF:3.73</w:t>
                  </w:r>
                </w:p>
              </w:tc>
              <w:tc>
                <w:tcPr>
                  <w:tcW w:w="588" w:type="dxa"/>
                  <w:tcBorders>
                    <w:top w:val="single" w:color="auto" w:sz="4" w:space="0"/>
                    <w:left w:val="single" w:color="auto" w:sz="6" w:space="0"/>
                    <w:bottom w:val="single" w:color="auto" w:sz="6" w:space="0"/>
                    <w:right w:val="single" w:color="auto" w:sz="6" w:space="0"/>
                  </w:tcBorders>
                  <w:vAlign w:val="center"/>
                </w:tcPr>
                <w:p>
                  <w:pPr>
                    <w:spacing w:line="240" w:lineRule="auto"/>
                    <w:jc w:val="center"/>
                    <w:rPr>
                      <w:sz w:val="18"/>
                      <w:szCs w:val="18"/>
                    </w:rPr>
                  </w:pPr>
                  <w:r>
                    <w:rPr>
                      <w:sz w:val="18"/>
                      <w:szCs w:val="18"/>
                    </w:rPr>
                    <w:t>通讯</w:t>
                  </w:r>
                </w:p>
              </w:tc>
            </w:tr>
            <w:tr>
              <w:tblPrEx>
                <w:tblLayout w:type="fixed"/>
                <w:tblCellMar>
                  <w:top w:w="0" w:type="dxa"/>
                  <w:left w:w="28" w:type="dxa"/>
                  <w:bottom w:w="0" w:type="dxa"/>
                  <w:right w:w="28" w:type="dxa"/>
                </w:tblCellMar>
              </w:tblPrEx>
              <w:trPr>
                <w:cantSplit/>
                <w:trHeight w:val="777" w:hRule="atLeast"/>
                <w:jc w:val="center"/>
              </w:trPr>
              <w:tc>
                <w:tcPr>
                  <w:tcW w:w="604" w:type="dxa"/>
                  <w:tcBorders>
                    <w:top w:val="single" w:color="auto" w:sz="4" w:space="0"/>
                    <w:left w:val="single" w:color="auto" w:sz="4" w:space="0"/>
                    <w:bottom w:val="single" w:color="auto" w:sz="6" w:space="0"/>
                    <w:right w:val="single" w:color="auto" w:sz="6" w:space="0"/>
                  </w:tcBorders>
                  <w:vAlign w:val="center"/>
                </w:tcPr>
                <w:p>
                  <w:pPr>
                    <w:spacing w:line="240" w:lineRule="auto"/>
                    <w:jc w:val="center"/>
                    <w:rPr>
                      <w:rFonts w:hint="eastAsia" w:ascii="宋体" w:eastAsiaTheme="minorEastAsia"/>
                      <w:sz w:val="18"/>
                      <w:szCs w:val="18"/>
                      <w:lang w:eastAsia="zh-CN"/>
                    </w:rPr>
                  </w:pPr>
                  <w:r>
                    <w:rPr>
                      <w:rFonts w:hint="eastAsia" w:ascii="宋体"/>
                      <w:sz w:val="18"/>
                      <w:szCs w:val="18"/>
                      <w:lang w:val="en-US" w:eastAsia="zh-CN"/>
                    </w:rPr>
                    <w:t>4</w:t>
                  </w:r>
                </w:p>
              </w:tc>
              <w:tc>
                <w:tcPr>
                  <w:tcW w:w="3244"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rFonts w:eastAsia="楷体_GB2312"/>
                      <w:color w:val="000000"/>
                      <w:sz w:val="21"/>
                      <w:szCs w:val="20"/>
                    </w:rPr>
                    <w:fldChar w:fldCharType="begin"/>
                  </w:r>
                  <w:r>
                    <w:rPr>
                      <w:rFonts w:eastAsia="楷体_GB2312"/>
                      <w:color w:val="000000"/>
                      <w:sz w:val="21"/>
                      <w:szCs w:val="20"/>
                    </w:rPr>
                    <w:instrText xml:space="preserve"> HYPERLINK "http://www.ncbi.nlm.nih.gov/pubmed/25797252" </w:instrText>
                  </w:r>
                  <w:r>
                    <w:rPr>
                      <w:rFonts w:eastAsia="楷体_GB2312"/>
                      <w:color w:val="000000"/>
                      <w:sz w:val="21"/>
                      <w:szCs w:val="20"/>
                    </w:rPr>
                    <w:fldChar w:fldCharType="separate"/>
                  </w:r>
                  <w:r>
                    <w:rPr>
                      <w:rFonts w:eastAsia="楷体_GB2312"/>
                      <w:color w:val="000000"/>
                      <w:sz w:val="21"/>
                      <w:szCs w:val="20"/>
                    </w:rPr>
                    <w:t xml:space="preserve">CRABP-II- and FABP5-independent responsiveness of human </w:t>
                  </w:r>
                  <w:r>
                    <w:rPr>
                      <w:rFonts w:eastAsia="楷体_GB2312"/>
                      <w:bCs/>
                      <w:color w:val="000000"/>
                      <w:sz w:val="21"/>
                      <w:szCs w:val="20"/>
                    </w:rPr>
                    <w:t>glioblastoma</w:t>
                  </w:r>
                  <w:r>
                    <w:rPr>
                      <w:rFonts w:eastAsia="楷体_GB2312"/>
                      <w:color w:val="000000"/>
                      <w:sz w:val="21"/>
                      <w:szCs w:val="20"/>
                    </w:rPr>
                    <w:t xml:space="preserve"> cells to all-trans </w:t>
                  </w:r>
                  <w:r>
                    <w:rPr>
                      <w:rFonts w:eastAsia="楷体_GB2312"/>
                      <w:bCs/>
                      <w:color w:val="000000"/>
                      <w:sz w:val="21"/>
                      <w:szCs w:val="20"/>
                    </w:rPr>
                    <w:t>retinoic acid</w:t>
                  </w:r>
                  <w:r>
                    <w:rPr>
                      <w:rFonts w:eastAsia="楷体_GB2312"/>
                      <w:color w:val="000000"/>
                      <w:sz w:val="21"/>
                      <w:szCs w:val="20"/>
                    </w:rPr>
                    <w:t>.</w:t>
                  </w:r>
                  <w:r>
                    <w:rPr>
                      <w:rFonts w:eastAsia="楷体_GB2312"/>
                      <w:color w:val="000000"/>
                      <w:sz w:val="21"/>
                      <w:szCs w:val="20"/>
                    </w:rPr>
                    <w:fldChar w:fldCharType="end"/>
                  </w:r>
                </w:p>
              </w:tc>
              <w:tc>
                <w:tcPr>
                  <w:tcW w:w="2253"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rStyle w:val="11"/>
                      <w:rFonts w:eastAsia="楷体_GB2312"/>
                      <w:b/>
                      <w:i/>
                      <w:color w:val="000000"/>
                      <w:sz w:val="21"/>
                      <w:szCs w:val="20"/>
                    </w:rPr>
                    <w:t>Oncotarget</w:t>
                  </w:r>
                </w:p>
              </w:tc>
              <w:tc>
                <w:tcPr>
                  <w:tcW w:w="73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color w:val="000000"/>
                      <w:sz w:val="21"/>
                      <w:szCs w:val="20"/>
                    </w:rPr>
                    <w:t>20;6(8):5889-902</w:t>
                  </w:r>
                </w:p>
              </w:tc>
              <w:tc>
                <w:tcPr>
                  <w:tcW w:w="1414"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color w:val="000000"/>
                      <w:sz w:val="21"/>
                      <w:szCs w:val="20"/>
                    </w:rPr>
                    <w:t>2015</w:t>
                  </w:r>
                </w:p>
              </w:tc>
              <w:tc>
                <w:tcPr>
                  <w:tcW w:w="840"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sz w:val="18"/>
                      <w:szCs w:val="18"/>
                    </w:rPr>
                  </w:pPr>
                  <w:r>
                    <w:rPr>
                      <w:sz w:val="18"/>
                      <w:szCs w:val="18"/>
                    </w:rPr>
                    <w:t>SCI</w:t>
                  </w:r>
                </w:p>
                <w:p>
                  <w:pPr>
                    <w:spacing w:line="240" w:lineRule="auto"/>
                    <w:jc w:val="center"/>
                    <w:rPr>
                      <w:rFonts w:hint="eastAsia"/>
                      <w:sz w:val="18"/>
                      <w:szCs w:val="18"/>
                    </w:rPr>
                  </w:pPr>
                  <w:r>
                    <w:rPr>
                      <w:rFonts w:hint="eastAsia"/>
                      <w:sz w:val="18"/>
                      <w:szCs w:val="18"/>
                    </w:rPr>
                    <w:t>IF:6.35</w:t>
                  </w:r>
                </w:p>
              </w:tc>
              <w:tc>
                <w:tcPr>
                  <w:tcW w:w="588" w:type="dxa"/>
                  <w:tcBorders>
                    <w:top w:val="single" w:color="auto" w:sz="4" w:space="0"/>
                    <w:left w:val="single" w:color="auto" w:sz="6" w:space="0"/>
                    <w:bottom w:val="single" w:color="auto" w:sz="6" w:space="0"/>
                    <w:right w:val="single" w:color="auto" w:sz="6" w:space="0"/>
                  </w:tcBorders>
                  <w:vAlign w:val="center"/>
                </w:tcPr>
                <w:p>
                  <w:pPr>
                    <w:spacing w:line="240" w:lineRule="auto"/>
                    <w:jc w:val="center"/>
                    <w:rPr>
                      <w:sz w:val="18"/>
                      <w:szCs w:val="18"/>
                    </w:rPr>
                  </w:pPr>
                  <w:r>
                    <w:rPr>
                      <w:sz w:val="18"/>
                      <w:szCs w:val="18"/>
                    </w:rPr>
                    <w:t>通讯</w:t>
                  </w:r>
                </w:p>
              </w:tc>
            </w:tr>
            <w:tr>
              <w:tblPrEx>
                <w:tblLayout w:type="fixed"/>
                <w:tblCellMar>
                  <w:top w:w="0" w:type="dxa"/>
                  <w:left w:w="28" w:type="dxa"/>
                  <w:bottom w:w="0" w:type="dxa"/>
                  <w:right w:w="28" w:type="dxa"/>
                </w:tblCellMar>
              </w:tblPrEx>
              <w:trPr>
                <w:cantSplit/>
                <w:trHeight w:val="777" w:hRule="atLeast"/>
                <w:jc w:val="center"/>
              </w:trPr>
              <w:tc>
                <w:tcPr>
                  <w:tcW w:w="604" w:type="dxa"/>
                  <w:tcBorders>
                    <w:top w:val="single" w:color="auto" w:sz="4" w:space="0"/>
                    <w:left w:val="single" w:color="auto" w:sz="4" w:space="0"/>
                    <w:bottom w:val="single" w:color="auto" w:sz="6" w:space="0"/>
                    <w:right w:val="single" w:color="auto" w:sz="6" w:space="0"/>
                  </w:tcBorders>
                  <w:vAlign w:val="center"/>
                </w:tcPr>
                <w:p>
                  <w:pPr>
                    <w:spacing w:line="240" w:lineRule="auto"/>
                    <w:jc w:val="center"/>
                    <w:rPr>
                      <w:rFonts w:hint="eastAsia" w:ascii="宋体" w:eastAsiaTheme="minorEastAsia"/>
                      <w:sz w:val="18"/>
                      <w:szCs w:val="18"/>
                      <w:lang w:eastAsia="zh-CN"/>
                    </w:rPr>
                  </w:pPr>
                  <w:r>
                    <w:rPr>
                      <w:rFonts w:hint="eastAsia" w:ascii="宋体"/>
                      <w:sz w:val="18"/>
                      <w:szCs w:val="18"/>
                      <w:lang w:val="en-US" w:eastAsia="zh-CN"/>
                    </w:rPr>
                    <w:t>5</w:t>
                  </w:r>
                </w:p>
              </w:tc>
              <w:tc>
                <w:tcPr>
                  <w:tcW w:w="3244"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rFonts w:eastAsia="楷体_GB2312"/>
                      <w:sz w:val="21"/>
                      <w:szCs w:val="20"/>
                    </w:rPr>
                    <w:t xml:space="preserve">Diffusion Efficiency and Bioavailability of </w:t>
                  </w:r>
                  <w:r>
                    <w:rPr>
                      <w:rStyle w:val="12"/>
                      <w:rFonts w:eastAsia="楷体_GB2312"/>
                      <w:sz w:val="21"/>
                      <w:szCs w:val="20"/>
                    </w:rPr>
                    <w:t>Resveratrol</w:t>
                  </w:r>
                  <w:r>
                    <w:rPr>
                      <w:rFonts w:eastAsia="楷体_GB2312"/>
                      <w:sz w:val="21"/>
                      <w:szCs w:val="20"/>
                    </w:rPr>
                    <w:t xml:space="preserve"> Administered to Rat Brain by Different Routes: Therapeutic Implications.</w:t>
                  </w:r>
                </w:p>
              </w:tc>
              <w:tc>
                <w:tcPr>
                  <w:tcW w:w="2253"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b/>
                      <w:i/>
                      <w:sz w:val="21"/>
                      <w:szCs w:val="21"/>
                    </w:rPr>
                    <w:t>Neurotherapeutics</w:t>
                  </w:r>
                </w:p>
              </w:tc>
              <w:tc>
                <w:tcPr>
                  <w:tcW w:w="73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sz w:val="21"/>
                      <w:szCs w:val="20"/>
                    </w:rPr>
                    <w:t>12:491-501</w:t>
                  </w:r>
                </w:p>
              </w:tc>
              <w:tc>
                <w:tcPr>
                  <w:tcW w:w="1414"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rFonts w:eastAsia="楷体_GB2312"/>
                      <w:sz w:val="21"/>
                      <w:szCs w:val="20"/>
                    </w:rPr>
                    <w:t>2015</w:t>
                  </w:r>
                </w:p>
              </w:tc>
              <w:tc>
                <w:tcPr>
                  <w:tcW w:w="840"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sz w:val="18"/>
                      <w:szCs w:val="18"/>
                    </w:rPr>
                  </w:pPr>
                  <w:r>
                    <w:rPr>
                      <w:sz w:val="18"/>
                      <w:szCs w:val="18"/>
                    </w:rPr>
                    <w:t>SCI</w:t>
                  </w:r>
                </w:p>
                <w:p>
                  <w:pPr>
                    <w:spacing w:line="240" w:lineRule="auto"/>
                    <w:jc w:val="center"/>
                    <w:rPr>
                      <w:rFonts w:hint="eastAsia"/>
                      <w:sz w:val="18"/>
                      <w:szCs w:val="18"/>
                    </w:rPr>
                  </w:pPr>
                  <w:r>
                    <w:rPr>
                      <w:rFonts w:hint="eastAsia"/>
                      <w:sz w:val="18"/>
                      <w:szCs w:val="18"/>
                    </w:rPr>
                    <w:t>IF:5.05</w:t>
                  </w:r>
                </w:p>
              </w:tc>
              <w:tc>
                <w:tcPr>
                  <w:tcW w:w="588" w:type="dxa"/>
                  <w:tcBorders>
                    <w:top w:val="single" w:color="auto" w:sz="4" w:space="0"/>
                    <w:left w:val="single" w:color="auto" w:sz="6" w:space="0"/>
                    <w:bottom w:val="single" w:color="auto" w:sz="6" w:space="0"/>
                    <w:right w:val="single" w:color="auto" w:sz="6" w:space="0"/>
                  </w:tcBorders>
                  <w:vAlign w:val="center"/>
                </w:tcPr>
                <w:p>
                  <w:pPr>
                    <w:spacing w:line="240" w:lineRule="auto"/>
                    <w:jc w:val="center"/>
                    <w:rPr>
                      <w:sz w:val="18"/>
                      <w:szCs w:val="18"/>
                    </w:rPr>
                  </w:pPr>
                  <w:r>
                    <w:rPr>
                      <w:sz w:val="18"/>
                      <w:szCs w:val="18"/>
                    </w:rPr>
                    <w:t>通讯</w:t>
                  </w:r>
                </w:p>
              </w:tc>
            </w:tr>
            <w:tr>
              <w:tblPrEx>
                <w:tblLayout w:type="fixed"/>
                <w:tblCellMar>
                  <w:top w:w="0" w:type="dxa"/>
                  <w:left w:w="28" w:type="dxa"/>
                  <w:bottom w:w="0" w:type="dxa"/>
                  <w:right w:w="28" w:type="dxa"/>
                </w:tblCellMar>
              </w:tblPrEx>
              <w:trPr>
                <w:cantSplit/>
                <w:trHeight w:val="777" w:hRule="atLeast"/>
                <w:jc w:val="center"/>
              </w:trPr>
              <w:tc>
                <w:tcPr>
                  <w:tcW w:w="604" w:type="dxa"/>
                  <w:tcBorders>
                    <w:top w:val="single" w:color="auto" w:sz="4" w:space="0"/>
                    <w:left w:val="single" w:color="auto" w:sz="4" w:space="0"/>
                    <w:bottom w:val="single" w:color="auto" w:sz="6" w:space="0"/>
                    <w:right w:val="single" w:color="auto" w:sz="6" w:space="0"/>
                  </w:tcBorders>
                  <w:vAlign w:val="center"/>
                </w:tcPr>
                <w:p>
                  <w:pPr>
                    <w:spacing w:line="240" w:lineRule="auto"/>
                    <w:jc w:val="center"/>
                    <w:rPr>
                      <w:rFonts w:hint="eastAsia" w:ascii="宋体" w:eastAsiaTheme="minorEastAsia"/>
                      <w:sz w:val="18"/>
                      <w:szCs w:val="18"/>
                      <w:lang w:eastAsia="zh-CN"/>
                    </w:rPr>
                  </w:pPr>
                  <w:r>
                    <w:rPr>
                      <w:rFonts w:hint="eastAsia" w:ascii="宋体"/>
                      <w:sz w:val="18"/>
                      <w:szCs w:val="18"/>
                      <w:lang w:val="en-US" w:eastAsia="zh-CN"/>
                    </w:rPr>
                    <w:t>6</w:t>
                  </w:r>
                </w:p>
              </w:tc>
              <w:tc>
                <w:tcPr>
                  <w:tcW w:w="3244"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rFonts w:hint="eastAsia" w:ascii="宋体"/>
                      <w:sz w:val="18"/>
                      <w:szCs w:val="18"/>
                    </w:rPr>
                  </w:pPr>
                  <w:r>
                    <w:rPr>
                      <w:sz w:val="21"/>
                      <w:szCs w:val="21"/>
                    </w:rPr>
                    <w:t>PIAS3, SHP2 and SOCS3 Expression Patterns in Cervical Cancers: Relevance with activation and resveratrol-caused inactivation of STAT3 signaling.</w:t>
                  </w:r>
                </w:p>
              </w:tc>
              <w:tc>
                <w:tcPr>
                  <w:tcW w:w="2253" w:type="dxa"/>
                  <w:tcBorders>
                    <w:top w:val="single" w:color="auto" w:sz="4" w:space="0"/>
                    <w:left w:val="single" w:color="auto" w:sz="6" w:space="0"/>
                    <w:bottom w:val="single" w:color="auto" w:sz="6" w:space="0"/>
                    <w:right w:val="single" w:color="auto" w:sz="6" w:space="0"/>
                  </w:tcBorders>
                  <w:vAlign w:val="center"/>
                </w:tcPr>
                <w:p>
                  <w:pPr>
                    <w:spacing w:before="120" w:after="120" w:line="240" w:lineRule="auto"/>
                    <w:jc w:val="center"/>
                    <w:rPr>
                      <w:b/>
                      <w:i/>
                      <w:sz w:val="21"/>
                      <w:szCs w:val="21"/>
                    </w:rPr>
                  </w:pPr>
                  <w:r>
                    <w:rPr>
                      <w:b/>
                      <w:i/>
                      <w:sz w:val="21"/>
                      <w:szCs w:val="21"/>
                    </w:rPr>
                    <w:t>Gynecol Oncol</w:t>
                  </w:r>
                </w:p>
              </w:tc>
              <w:tc>
                <w:tcPr>
                  <w:tcW w:w="73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sz w:val="21"/>
                      <w:szCs w:val="21"/>
                    </w:rPr>
                    <w:t>139:529-535</w:t>
                  </w:r>
                </w:p>
              </w:tc>
              <w:tc>
                <w:tcPr>
                  <w:tcW w:w="1414"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ascii="宋体"/>
                      <w:sz w:val="18"/>
                      <w:szCs w:val="18"/>
                    </w:rPr>
                  </w:pPr>
                  <w:r>
                    <w:rPr>
                      <w:sz w:val="21"/>
                      <w:szCs w:val="21"/>
                    </w:rPr>
                    <w:t>2015</w:t>
                  </w:r>
                </w:p>
              </w:tc>
              <w:tc>
                <w:tcPr>
                  <w:tcW w:w="840"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rFonts w:hint="eastAsia"/>
                      <w:sz w:val="18"/>
                      <w:szCs w:val="18"/>
                    </w:rPr>
                  </w:pPr>
                  <w:r>
                    <w:rPr>
                      <w:sz w:val="18"/>
                      <w:szCs w:val="18"/>
                    </w:rPr>
                    <w:t>SCI</w:t>
                  </w:r>
                </w:p>
                <w:p>
                  <w:pPr>
                    <w:spacing w:line="240" w:lineRule="auto"/>
                    <w:jc w:val="center"/>
                    <w:rPr>
                      <w:rFonts w:hint="eastAsia"/>
                      <w:sz w:val="18"/>
                      <w:szCs w:val="18"/>
                    </w:rPr>
                  </w:pPr>
                  <w:r>
                    <w:rPr>
                      <w:rFonts w:hint="eastAsia"/>
                      <w:sz w:val="18"/>
                      <w:szCs w:val="18"/>
                    </w:rPr>
                    <w:t>IF:3.87</w:t>
                  </w:r>
                </w:p>
              </w:tc>
              <w:tc>
                <w:tcPr>
                  <w:tcW w:w="588" w:type="dxa"/>
                  <w:tcBorders>
                    <w:top w:val="single" w:color="auto" w:sz="4" w:space="0"/>
                    <w:left w:val="single" w:color="auto" w:sz="6" w:space="0"/>
                    <w:bottom w:val="single" w:color="auto" w:sz="6" w:space="0"/>
                    <w:right w:val="single" w:color="auto" w:sz="6" w:space="0"/>
                  </w:tcBorders>
                  <w:vAlign w:val="center"/>
                </w:tcPr>
                <w:p>
                  <w:pPr>
                    <w:spacing w:line="240" w:lineRule="auto"/>
                    <w:jc w:val="center"/>
                    <w:rPr>
                      <w:sz w:val="18"/>
                      <w:szCs w:val="18"/>
                    </w:rPr>
                  </w:pPr>
                  <w:r>
                    <w:rPr>
                      <w:sz w:val="18"/>
                      <w:szCs w:val="18"/>
                    </w:rPr>
                    <w:t>通讯</w:t>
                  </w:r>
                </w:p>
              </w:tc>
            </w:tr>
          </w:tbl>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b/>
                <w:bCs/>
                <w:color w:val="000000"/>
                <w:kern w:val="0"/>
                <w:sz w:val="22"/>
              </w:rPr>
              <w:t>近三年所获科研奖励</w:t>
            </w:r>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312" w:hRule="atLeast"/>
        </w:trPr>
        <w:tc>
          <w:tcPr>
            <w:tcW w:w="10682" w:type="dxa"/>
            <w:gridSpan w:val="18"/>
            <w:vMerge w:val="restart"/>
            <w:tcBorders>
              <w:top w:val="single" w:color="auto" w:sz="4" w:space="0"/>
              <w:left w:val="single" w:color="auto" w:sz="4" w:space="0"/>
              <w:bottom w:val="single" w:color="auto" w:sz="4" w:space="0"/>
              <w:right w:val="single" w:color="auto" w:sz="4" w:space="0"/>
            </w:tcBorders>
            <w:shd w:val="clear" w:color="auto" w:fill="auto"/>
            <w:vAlign w:val="bottom"/>
          </w:tcPr>
          <w:p>
            <w:pPr>
              <w:widowControl/>
              <w:jc w:val="both"/>
              <w:rPr>
                <w:rFonts w:ascii="宋体" w:hAnsi="宋体" w:eastAsia="宋体" w:cs="宋体"/>
                <w:color w:val="000000"/>
                <w:kern w:val="0"/>
                <w:sz w:val="22"/>
              </w:rPr>
            </w:pPr>
            <w:bookmarkStart w:id="1" w:name="_GoBack"/>
            <w:r>
              <w:rPr>
                <w:rFonts w:hint="eastAsia" w:ascii="宋体"/>
                <w:sz w:val="22"/>
                <w:szCs w:val="22"/>
              </w:rPr>
              <w:t>辽宁省科技进步二等奖(2015J-2-60-01)</w:t>
            </w:r>
            <w:r>
              <w:rPr>
                <w:rFonts w:hint="eastAsia" w:ascii="宋体"/>
                <w:sz w:val="22"/>
                <w:szCs w:val="22"/>
                <w:lang w:val="en-US" w:eastAsia="zh-CN"/>
              </w:rPr>
              <w:t xml:space="preserve"> </w:t>
            </w:r>
            <w:r>
              <w:rPr>
                <w:rFonts w:hint="eastAsia" w:ascii="宋体"/>
                <w:sz w:val="22"/>
                <w:szCs w:val="22"/>
              </w:rPr>
              <w:t>基于脑肿瘤的白藜芦醇抗癌机制和治疗学研究</w:t>
            </w:r>
            <w:bookmarkEnd w:id="1"/>
          </w:p>
        </w:tc>
      </w:tr>
      <w:tr>
        <w:tblPrEx>
          <w:tblLayout w:type="fixed"/>
          <w:tblCellMar>
            <w:top w:w="0" w:type="dxa"/>
            <w:left w:w="108" w:type="dxa"/>
            <w:bottom w:w="0" w:type="dxa"/>
            <w:right w:w="108" w:type="dxa"/>
          </w:tblCellMar>
        </w:tblPrEx>
        <w:trPr>
          <w:trHeight w:val="312"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r>
        <w:tblPrEx>
          <w:tblLayout w:type="fixed"/>
          <w:tblCellMar>
            <w:top w:w="0" w:type="dxa"/>
            <w:left w:w="108" w:type="dxa"/>
            <w:bottom w:w="0" w:type="dxa"/>
            <w:right w:w="108" w:type="dxa"/>
          </w:tblCellMar>
        </w:tblPrEx>
        <w:trPr>
          <w:trHeight w:val="2550" w:hRule="atLeast"/>
        </w:trPr>
        <w:tc>
          <w:tcPr>
            <w:tcW w:w="10682" w:type="dxa"/>
            <w:gridSpan w:val="18"/>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r>
    </w:tbl>
    <w:p>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黑体">
    <w:panose1 w:val="02010609060101010101"/>
    <w:charset w:val="86"/>
    <w:family w:val="roman"/>
    <w:pitch w:val="default"/>
    <w:sig w:usb0="800002BF" w:usb1="38CF7CFA" w:usb2="00000016" w:usb3="00000000" w:csb0="00040001" w:csb1="00000000"/>
  </w:font>
  <w:font w:name="微软雅黑">
    <w:panose1 w:val="020B0503020204020204"/>
    <w:charset w:val="86"/>
    <w:family w:val="modern"/>
    <w:pitch w:val="default"/>
    <w:sig w:usb0="80000287" w:usb1="280F3C52" w:usb2="00000016" w:usb3="00000000" w:csb0="0004001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Arial">
    <w:panose1 w:val="020B0604020202020204"/>
    <w:charset w:val="00"/>
    <w:family w:val="auto"/>
    <w:pitch w:val="default"/>
    <w:sig w:usb0="E0002AFF" w:usb1="C0007843" w:usb2="00000009" w:usb3="00000000" w:csb0="400001FF" w:csb1="FFFF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微软雅黑">
    <w:panose1 w:val="020B0503020204020204"/>
    <w:charset w:val="86"/>
    <w:family w:val="decorative"/>
    <w:pitch w:val="default"/>
    <w:sig w:usb0="80000287" w:usb1="280F3C52" w:usb2="00000016" w:usb3="00000000" w:csb0="0004001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 w:name="楷体_GB2312">
    <w:altName w:val="楷体"/>
    <w:panose1 w:val="00000000000000000000"/>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077"/>
    <w:rsid w:val="001C1301"/>
    <w:rsid w:val="00207CC0"/>
    <w:rsid w:val="002324BF"/>
    <w:rsid w:val="002524BA"/>
    <w:rsid w:val="0065043B"/>
    <w:rsid w:val="00742B2A"/>
    <w:rsid w:val="007461E0"/>
    <w:rsid w:val="007470F1"/>
    <w:rsid w:val="00831D1A"/>
    <w:rsid w:val="00895077"/>
    <w:rsid w:val="008D2153"/>
    <w:rsid w:val="009D4EF3"/>
    <w:rsid w:val="00AC7D1A"/>
    <w:rsid w:val="00CE18FB"/>
    <w:rsid w:val="00D2710E"/>
    <w:rsid w:val="00D33B0E"/>
    <w:rsid w:val="00D6112C"/>
    <w:rsid w:val="0EFF059A"/>
    <w:rsid w:val="28F165EC"/>
    <w:rsid w:val="64A91C5C"/>
    <w:rsid w:val="66CC51BC"/>
    <w:rsid w:val="709C387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themeColor="hyperlink"/>
      <w:u w:val="single"/>
      <w14:textFill>
        <w14:solidFill>
          <w14:schemeClr w14:val="hlink"/>
        </w14:solidFill>
      </w14:textFill>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 w:type="character" w:customStyle="1" w:styleId="9">
    <w:name w:val="sqm_title"/>
    <w:basedOn w:val="4"/>
    <w:qFormat/>
    <w:uiPriority w:val="0"/>
  </w:style>
  <w:style w:type="paragraph" w:customStyle="1" w:styleId="10">
    <w:name w:val="标准"/>
    <w:basedOn w:val="1"/>
    <w:uiPriority w:val="0"/>
    <w:pPr>
      <w:adjustRightInd w:val="0"/>
      <w:spacing w:before="120" w:after="120" w:line="312" w:lineRule="atLeast"/>
      <w:textAlignment w:val="baseline"/>
    </w:pPr>
    <w:rPr>
      <w:rFonts w:ascii="宋体" w:hAnsi="Times New Roman" w:eastAsia="宋体" w:cs="Times New Roman"/>
      <w:kern w:val="0"/>
      <w:szCs w:val="20"/>
    </w:rPr>
  </w:style>
  <w:style w:type="character" w:customStyle="1" w:styleId="11">
    <w:name w:val="jrnl"/>
    <w:basedOn w:val="4"/>
    <w:qFormat/>
    <w:uiPriority w:val="0"/>
  </w:style>
  <w:style w:type="character" w:customStyle="1" w:styleId="12">
    <w:name w:val="highlight2"/>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101</Words>
  <Characters>580</Characters>
  <Lines>4</Lines>
  <Paragraphs>1</Paragraphs>
  <ScaleCrop>false</ScaleCrop>
  <LinksUpToDate>false</LinksUpToDate>
  <CharactersWithSpaces>680</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2016-03-09T08:13:00Z</dcterms:created>
  <dc:creator>Administrator</dc:creator>
  <cp:lastModifiedBy>apple</cp:lastModifiedBy>
  <dcterms:modified xsi:type="dcterms:W3CDTF">2016-03-09T13:39:56Z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