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600" w:lineRule="exact"/>
        <w:jc w:val="center"/>
      </w:pPr>
      <w:bookmarkStart w:id="0" w:name="_Toc26555"/>
      <w:r>
        <w:rPr>
          <w:rFonts w:hint="eastAsia"/>
        </w:rPr>
        <w:t>艺术学院班主任工作职责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1.每学期主持召开班会三次以上，并将班会总结（包括文字、图片及录像）材料交到年级辅导员处；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2.每学期至少下学生宿舍两次，了解学生学习和生活情况；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3.</w:t>
      </w:r>
      <w:r>
        <w:rPr>
          <w:rFonts w:hint="eastAsia" w:ascii="仿宋_GB2312" w:hAnsi="仿宋" w:eastAsia="仿宋_GB2312"/>
          <w:sz w:val="28"/>
          <w:szCs w:val="28"/>
        </w:rPr>
        <w:t>每学期向家长寄送学生成绩单（3月5日、9月5日之前寄送）；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4.指导班委日常工作，每学期至少参加或组织一次班集体活动；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5.每学期跟班听课两次并向学院反映学生上课情况；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6.每学期举办班主任工作汇报会一次，由各班班主任做班级情况介绍；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7.指导学生综合测评，并对学生表现进行鉴定（9月登录学生管理网页，对学生综合测评进行审核，并对班级同学填写评语）；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8.负责班级班风、学风建设，对违纪学生进行教育；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9.指导学生专业学习、辅修选择与职业定向；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10.毕业班班主任每年11月对班级同学进行毕业鉴定《毕业生推荐表》及《毕业生登记表》。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/>
          <w:color w:val="000000"/>
          <w:sz w:val="28"/>
          <w:szCs w:val="28"/>
        </w:rPr>
      </w:pPr>
      <w:r>
        <w:rPr>
          <w:rFonts w:hint="eastAsia" w:ascii="仿宋_GB2312" w:hAnsi="仿宋" w:eastAsia="仿宋_GB2312"/>
          <w:color w:val="000000"/>
          <w:sz w:val="28"/>
          <w:szCs w:val="28"/>
        </w:rPr>
        <w:t>11.以上工作职责同时作为班主任工作考核及评优依据。</w:t>
      </w: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37CF54F1"/>
    <w:rsid w:val="37CF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2022-10-12T03:14:00Z</dcterms:created>
  <dc:creator>陈青丽</dc:creator>
  <cp:lastModifiedBy>陈青丽</cp:lastModifiedBy>
  <dcterms:modified xsi:type="dcterms:W3CDTF">2022-10-12T03:14:11Z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26232D1400EA42629D367563950DE6A0</vt:lpwstr>
  </property>
</Properties>
</file>