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226ED9">
      <w:pPr>
        <w:jc w:val="center"/>
        <w:rPr>
          <w:rFonts w:ascii="楷体" w:hAnsi="楷体" w:eastAsia="楷体" w:cs="楷体"/>
          <w:b/>
          <w:color w:val="000000"/>
          <w:sz w:val="84"/>
          <w:szCs w:val="84"/>
        </w:rPr>
      </w:pPr>
    </w:p>
    <w:p w14:paraId="56923EE0">
      <w:pPr>
        <w:jc w:val="center"/>
        <w:rPr>
          <w:rFonts w:ascii="楷体" w:hAnsi="楷体" w:eastAsia="楷体" w:cs="楷体"/>
          <w:b/>
          <w:color w:val="000000"/>
          <w:sz w:val="44"/>
          <w:szCs w:val="44"/>
        </w:rPr>
      </w:pPr>
      <w:bookmarkStart w:id="3" w:name="_GoBack"/>
      <w:r>
        <w:rPr>
          <w:rFonts w:hint="eastAsia" w:ascii="楷体" w:hAnsi="楷体" w:eastAsia="楷体" w:cs="楷体"/>
          <w:b/>
          <w:color w:val="000000"/>
          <w:sz w:val="84"/>
          <w:szCs w:val="84"/>
        </w:rPr>
        <w:t>五山校区外卖智能储存管理服务商</w:t>
      </w:r>
    </w:p>
    <w:p w14:paraId="302D6674">
      <w:pPr>
        <w:jc w:val="center"/>
        <w:rPr>
          <w:rFonts w:ascii="楷体" w:hAnsi="楷体" w:eastAsia="楷体" w:cs="楷体"/>
          <w:b/>
          <w:color w:val="000000"/>
          <w:sz w:val="84"/>
          <w:szCs w:val="84"/>
        </w:rPr>
      </w:pPr>
      <w:r>
        <w:rPr>
          <w:rFonts w:hint="eastAsia" w:ascii="楷体" w:hAnsi="楷体" w:eastAsia="楷体" w:cs="楷体"/>
          <w:b/>
          <w:color w:val="000000"/>
          <w:sz w:val="84"/>
          <w:szCs w:val="84"/>
          <w:lang w:eastAsia="zh-CN"/>
        </w:rPr>
        <w:t>遴</w:t>
      </w:r>
      <w:r>
        <w:rPr>
          <w:rFonts w:hint="eastAsia" w:ascii="楷体" w:hAnsi="楷体" w:eastAsia="楷体" w:cs="楷体"/>
          <w:b/>
          <w:color w:val="000000"/>
          <w:sz w:val="84"/>
          <w:szCs w:val="84"/>
        </w:rPr>
        <w:t xml:space="preserve"> </w:t>
      </w:r>
      <w:r>
        <w:rPr>
          <w:rFonts w:hint="eastAsia" w:ascii="楷体" w:hAnsi="楷体" w:eastAsia="楷体" w:cs="楷体"/>
          <w:b/>
          <w:color w:val="000000"/>
          <w:sz w:val="84"/>
          <w:szCs w:val="84"/>
          <w:lang w:eastAsia="zh-CN"/>
        </w:rPr>
        <w:t>选</w:t>
      </w:r>
      <w:r>
        <w:rPr>
          <w:rFonts w:hint="eastAsia" w:ascii="楷体" w:hAnsi="楷体" w:eastAsia="楷体" w:cs="楷体"/>
          <w:b/>
          <w:color w:val="000000"/>
          <w:sz w:val="84"/>
          <w:szCs w:val="84"/>
        </w:rPr>
        <w:t xml:space="preserve"> 文 件</w:t>
      </w:r>
      <w:bookmarkEnd w:id="3"/>
    </w:p>
    <w:p w14:paraId="2BBA5F8A">
      <w:pPr>
        <w:rPr>
          <w:rFonts w:ascii="仿宋" w:hAnsi="仿宋" w:eastAsia="仿宋" w:cs="仿宋"/>
          <w:color w:val="000000"/>
          <w:sz w:val="28"/>
          <w:szCs w:val="28"/>
        </w:rPr>
      </w:pPr>
    </w:p>
    <w:p w14:paraId="30BC1AF6">
      <w:pPr>
        <w:rPr>
          <w:rFonts w:ascii="仿宋" w:hAnsi="仿宋" w:eastAsia="仿宋" w:cs="仿宋"/>
          <w:color w:val="000000"/>
          <w:sz w:val="28"/>
          <w:szCs w:val="28"/>
        </w:rPr>
      </w:pPr>
    </w:p>
    <w:p w14:paraId="4728B7B9">
      <w:pPr>
        <w:rPr>
          <w:rFonts w:ascii="仿宋" w:hAnsi="仿宋" w:eastAsia="仿宋" w:cs="仿宋"/>
          <w:color w:val="000000"/>
          <w:sz w:val="28"/>
          <w:szCs w:val="28"/>
        </w:rPr>
      </w:pPr>
    </w:p>
    <w:p w14:paraId="416B90AB">
      <w:pPr>
        <w:rPr>
          <w:rFonts w:ascii="仿宋" w:hAnsi="仿宋" w:eastAsia="仿宋" w:cs="仿宋"/>
          <w:color w:val="000000"/>
          <w:sz w:val="28"/>
          <w:szCs w:val="28"/>
          <w:u w:val="single"/>
        </w:rPr>
      </w:pPr>
    </w:p>
    <w:p w14:paraId="21D9CA41">
      <w:pPr>
        <w:ind w:firstLine="2520" w:firstLineChars="900"/>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14:paraId="08B477B1">
      <w:pPr>
        <w:rPr>
          <w:rFonts w:hint="eastAsia" w:ascii="仿宋" w:hAnsi="仿宋" w:eastAsia="仿宋" w:cs="仿宋"/>
          <w:color w:val="000000"/>
          <w:sz w:val="28"/>
          <w:szCs w:val="28"/>
          <w:u w:val="single"/>
          <w:lang w:eastAsia="zh-CN"/>
        </w:rPr>
      </w:pPr>
      <w:r>
        <w:rPr>
          <w:rFonts w:hint="eastAsia" w:ascii="仿宋" w:hAnsi="仿宋" w:eastAsia="仿宋" w:cs="仿宋"/>
          <w:b/>
          <w:color w:val="000000"/>
          <w:sz w:val="28"/>
          <w:szCs w:val="28"/>
        </w:rPr>
        <w:t>项目名称：</w:t>
      </w:r>
      <w:r>
        <w:rPr>
          <w:rFonts w:hint="eastAsia" w:ascii="仿宋" w:hAnsi="仿宋" w:eastAsia="仿宋" w:cs="仿宋"/>
          <w:color w:val="000000"/>
          <w:sz w:val="28"/>
          <w:szCs w:val="28"/>
          <w:u w:val="single"/>
        </w:rPr>
        <w:t>华南理工大学广州五山校区外卖智能储存管理服务商</w:t>
      </w:r>
      <w:r>
        <w:rPr>
          <w:rFonts w:hint="eastAsia" w:ascii="仿宋" w:hAnsi="仿宋" w:eastAsia="仿宋" w:cs="仿宋"/>
          <w:color w:val="000000"/>
          <w:sz w:val="28"/>
          <w:szCs w:val="28"/>
          <w:u w:val="single"/>
          <w:lang w:eastAsia="zh-CN"/>
        </w:rPr>
        <w:t>遴选</w:t>
      </w:r>
    </w:p>
    <w:p w14:paraId="2A9A3472">
      <w:pPr>
        <w:rPr>
          <w:rFonts w:ascii="仿宋" w:hAnsi="仿宋" w:eastAsia="仿宋" w:cs="仿宋"/>
          <w:color w:val="000000"/>
          <w:sz w:val="28"/>
          <w:szCs w:val="28"/>
          <w:u w:val="single"/>
        </w:rPr>
      </w:pPr>
    </w:p>
    <w:p w14:paraId="7B1F204D">
      <w:pPr>
        <w:ind w:firstLine="2520" w:firstLineChars="900"/>
        <w:rPr>
          <w:rFonts w:ascii="仿宋" w:hAnsi="仿宋" w:eastAsia="仿宋" w:cs="仿宋"/>
          <w:color w:val="000000"/>
          <w:sz w:val="28"/>
          <w:szCs w:val="28"/>
          <w:u w:val="single"/>
        </w:rPr>
      </w:pPr>
    </w:p>
    <w:p w14:paraId="29C1E4A1">
      <w:pPr>
        <w:ind w:firstLine="2520" w:firstLineChars="900"/>
        <w:rPr>
          <w:rFonts w:ascii="仿宋" w:hAnsi="仿宋" w:eastAsia="仿宋" w:cs="仿宋"/>
          <w:color w:val="000000"/>
          <w:sz w:val="28"/>
          <w:szCs w:val="28"/>
          <w:u w:val="single"/>
        </w:rPr>
      </w:pPr>
    </w:p>
    <w:p w14:paraId="0D4D8388">
      <w:pPr>
        <w:ind w:firstLine="2520" w:firstLineChars="900"/>
        <w:rPr>
          <w:rFonts w:ascii="仿宋" w:hAnsi="仿宋" w:eastAsia="仿宋" w:cs="仿宋"/>
          <w:color w:val="000000"/>
          <w:sz w:val="28"/>
          <w:szCs w:val="28"/>
          <w:u w:val="single"/>
        </w:rPr>
      </w:pPr>
    </w:p>
    <w:p w14:paraId="0E567594">
      <w:pPr>
        <w:rPr>
          <w:rFonts w:ascii="仿宋" w:hAnsi="仿宋" w:eastAsia="仿宋" w:cs="仿宋"/>
          <w:color w:val="000000"/>
          <w:sz w:val="28"/>
          <w:szCs w:val="28"/>
          <w:u w:val="single"/>
        </w:rPr>
      </w:pPr>
      <w:r>
        <w:rPr>
          <w:rFonts w:hint="eastAsia" w:ascii="仿宋" w:hAnsi="仿宋" w:eastAsia="仿宋" w:cs="仿宋"/>
          <w:b/>
          <w:color w:val="000000"/>
          <w:sz w:val="28"/>
          <w:szCs w:val="28"/>
          <w:lang w:eastAsia="zh-CN"/>
        </w:rPr>
        <w:t>遴选</w:t>
      </w:r>
      <w:r>
        <w:rPr>
          <w:rFonts w:hint="eastAsia" w:ascii="仿宋" w:hAnsi="仿宋" w:eastAsia="仿宋" w:cs="仿宋"/>
          <w:b/>
          <w:color w:val="000000"/>
          <w:sz w:val="28"/>
          <w:szCs w:val="28"/>
        </w:rPr>
        <w:t>单位：</w:t>
      </w:r>
      <w:r>
        <w:rPr>
          <w:rFonts w:hint="eastAsia" w:ascii="仿宋" w:hAnsi="仿宋" w:eastAsia="仿宋" w:cs="仿宋"/>
          <w:color w:val="000000"/>
          <w:sz w:val="28"/>
          <w:szCs w:val="28"/>
          <w:u w:val="single"/>
        </w:rPr>
        <w:t>华南理工大学广州五山校区后勤处</w:t>
      </w:r>
    </w:p>
    <w:p w14:paraId="5CAAEEF0">
      <w:pPr>
        <w:rPr>
          <w:rFonts w:ascii="仿宋" w:hAnsi="仿宋" w:eastAsia="仿宋" w:cs="仿宋"/>
          <w:color w:val="000000"/>
          <w:sz w:val="28"/>
          <w:szCs w:val="28"/>
          <w:u w:val="single"/>
        </w:rPr>
      </w:pPr>
    </w:p>
    <w:p w14:paraId="7EF7BD10">
      <w:pPr>
        <w:adjustRightInd w:val="0"/>
        <w:snapToGrid w:val="0"/>
        <w:spacing w:after="312" w:afterLines="100" w:line="30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br w:type="column"/>
      </w:r>
      <w:r>
        <w:rPr>
          <w:rFonts w:ascii="仿宋" w:hAnsi="仿宋" w:eastAsia="仿宋" w:cs="仿宋"/>
          <w:b/>
          <w:color w:val="000000"/>
          <w:sz w:val="28"/>
          <w:szCs w:val="28"/>
        </w:rPr>
        <w:t xml:space="preserve">                                                                                                                                                                                   </w:t>
      </w:r>
    </w:p>
    <w:p w14:paraId="72F97DB9">
      <w:pPr>
        <w:pStyle w:val="2"/>
        <w:jc w:val="center"/>
      </w:pPr>
      <w:r>
        <w:rPr>
          <w:rFonts w:hint="eastAsia"/>
        </w:rPr>
        <w:t>目　　录</w:t>
      </w:r>
    </w:p>
    <w:p w14:paraId="3D98EE86">
      <w:pPr>
        <w:adjustRightInd w:val="0"/>
        <w:snapToGrid w:val="0"/>
        <w:spacing w:after="312" w:afterLines="100" w:line="300" w:lineRule="auto"/>
        <w:jc w:val="left"/>
        <w:rPr>
          <w:rFonts w:ascii="仿宋" w:hAnsi="仿宋" w:eastAsia="仿宋" w:cs="仿宋"/>
          <w:b/>
          <w:bCs/>
          <w:color w:val="000000"/>
          <w:sz w:val="72"/>
          <w:szCs w:val="72"/>
        </w:rPr>
      </w:pPr>
      <w:r>
        <w:rPr>
          <w:rFonts w:hint="eastAsia" w:ascii="仿宋" w:hAnsi="仿宋" w:eastAsia="仿宋" w:cs="仿宋"/>
          <w:b/>
          <w:color w:val="000000"/>
          <w:sz w:val="32"/>
          <w:szCs w:val="32"/>
        </w:rPr>
        <w:t>第一部分  项目概述</w:t>
      </w:r>
    </w:p>
    <w:p w14:paraId="63A203D0">
      <w:pPr>
        <w:adjustRightInd w:val="0"/>
        <w:snapToGrid w:val="0"/>
        <w:spacing w:after="312" w:afterLines="100" w:line="30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第二部分  用户需求书</w:t>
      </w:r>
    </w:p>
    <w:p w14:paraId="31625917">
      <w:pPr>
        <w:adjustRightInd w:val="0"/>
        <w:snapToGrid w:val="0"/>
        <w:spacing w:after="312" w:afterLines="100" w:line="30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第三部分  中标人须知</w:t>
      </w:r>
    </w:p>
    <w:p w14:paraId="478C74D6">
      <w:pPr>
        <w:adjustRightInd w:val="0"/>
        <w:snapToGrid w:val="0"/>
        <w:spacing w:after="312" w:afterLines="100" w:line="30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第四部分  合同范本</w:t>
      </w:r>
    </w:p>
    <w:p w14:paraId="19D460AA">
      <w:pPr>
        <w:adjustRightInd w:val="0"/>
        <w:snapToGrid w:val="0"/>
        <w:spacing w:after="312" w:afterLines="100" w:line="30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第五部分  五山校区商业网点管理规定</w:t>
      </w:r>
    </w:p>
    <w:p w14:paraId="7D377DBC">
      <w:pPr>
        <w:adjustRightInd w:val="0"/>
        <w:snapToGrid w:val="0"/>
        <w:spacing w:after="312" w:afterLines="100" w:line="30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 xml:space="preserve">第六部分  </w:t>
      </w:r>
      <w:r>
        <w:rPr>
          <w:rFonts w:hint="eastAsia" w:ascii="仿宋" w:hAnsi="仿宋" w:eastAsia="仿宋" w:cs="仿宋"/>
          <w:b/>
          <w:color w:val="000000"/>
          <w:sz w:val="32"/>
          <w:szCs w:val="32"/>
          <w:lang w:eastAsia="zh-CN"/>
        </w:rPr>
        <w:t>遴选</w:t>
      </w:r>
      <w:r>
        <w:rPr>
          <w:rFonts w:hint="eastAsia" w:ascii="仿宋" w:hAnsi="仿宋" w:eastAsia="仿宋" w:cs="仿宋"/>
          <w:b/>
          <w:color w:val="000000"/>
          <w:sz w:val="32"/>
          <w:szCs w:val="32"/>
        </w:rPr>
        <w:t>文件制作要求</w:t>
      </w:r>
    </w:p>
    <w:p w14:paraId="3F3747E7">
      <w:pPr>
        <w:adjustRightInd w:val="0"/>
        <w:snapToGrid w:val="0"/>
        <w:spacing w:after="312" w:afterLines="100" w:line="300" w:lineRule="auto"/>
        <w:jc w:val="left"/>
        <w:rPr>
          <w:rFonts w:ascii="仿宋" w:hAnsi="仿宋" w:eastAsia="仿宋" w:cs="仿宋"/>
          <w:b/>
          <w:color w:val="000000"/>
          <w:sz w:val="32"/>
          <w:szCs w:val="32"/>
        </w:rPr>
      </w:pPr>
      <w:r>
        <w:rPr>
          <w:rFonts w:hint="eastAsia" w:ascii="仿宋" w:hAnsi="仿宋" w:eastAsia="仿宋" w:cs="仿宋"/>
          <w:b/>
          <w:color w:val="000000"/>
          <w:sz w:val="32"/>
          <w:szCs w:val="32"/>
        </w:rPr>
        <w:t>第七部分  评标标准</w:t>
      </w:r>
    </w:p>
    <w:p w14:paraId="6B6F95AF">
      <w:pPr>
        <w:rPr>
          <w:rFonts w:ascii="仿宋" w:hAnsi="仿宋" w:eastAsia="仿宋" w:cs="仿宋"/>
          <w:b/>
          <w:color w:val="000000"/>
          <w:sz w:val="32"/>
          <w:szCs w:val="32"/>
        </w:rPr>
      </w:pPr>
      <w:r>
        <w:rPr>
          <w:rFonts w:hint="eastAsia" w:ascii="仿宋" w:hAnsi="仿宋" w:eastAsia="仿宋" w:cs="仿宋"/>
          <w:b/>
          <w:color w:val="000000"/>
          <w:sz w:val="32"/>
          <w:szCs w:val="32"/>
        </w:rPr>
        <w:t>第八部分  投标文件的递交及其他</w:t>
      </w:r>
    </w:p>
    <w:p w14:paraId="25BDBCBF">
      <w:pPr>
        <w:pStyle w:val="3"/>
        <w:overflowPunct w:val="0"/>
        <w:spacing w:line="480" w:lineRule="auto"/>
        <w:ind w:firstLine="0"/>
        <w:rPr>
          <w:rFonts w:ascii="仿宋" w:hAnsi="仿宋" w:eastAsia="仿宋" w:cs="仿宋"/>
          <w:b/>
          <w:color w:val="000000"/>
          <w:sz w:val="32"/>
          <w:szCs w:val="32"/>
        </w:rPr>
      </w:pPr>
    </w:p>
    <w:p w14:paraId="0CBE223D">
      <w:pPr>
        <w:adjustRightInd w:val="0"/>
        <w:snapToGrid w:val="0"/>
        <w:spacing w:before="156" w:beforeLines="50" w:line="360" w:lineRule="auto"/>
        <w:jc w:val="center"/>
        <w:rPr>
          <w:rFonts w:ascii="仿宋" w:hAnsi="仿宋" w:eastAsia="仿宋" w:cs="仿宋"/>
          <w:b/>
          <w:color w:val="000000"/>
          <w:sz w:val="44"/>
          <w:szCs w:val="44"/>
        </w:rPr>
      </w:pPr>
      <w:bookmarkStart w:id="0" w:name="_Toc121844265"/>
    </w:p>
    <w:p w14:paraId="00311894">
      <w:pPr>
        <w:adjustRightInd w:val="0"/>
        <w:snapToGrid w:val="0"/>
        <w:spacing w:before="156" w:beforeLines="50" w:line="360" w:lineRule="auto"/>
        <w:jc w:val="center"/>
        <w:rPr>
          <w:rFonts w:ascii="仿宋" w:hAnsi="仿宋" w:eastAsia="仿宋" w:cs="仿宋"/>
          <w:b/>
          <w:color w:val="000000"/>
          <w:sz w:val="44"/>
          <w:szCs w:val="44"/>
        </w:rPr>
      </w:pPr>
    </w:p>
    <w:bookmarkEnd w:id="0"/>
    <w:p w14:paraId="230B7F3B">
      <w:pPr>
        <w:adjustRightInd w:val="0"/>
        <w:snapToGrid w:val="0"/>
        <w:spacing w:before="156" w:beforeLines="50" w:line="360" w:lineRule="auto"/>
        <w:rPr>
          <w:rFonts w:ascii="仿宋" w:hAnsi="仿宋" w:eastAsia="仿宋" w:cs="仿宋"/>
          <w:b/>
          <w:color w:val="000000"/>
          <w:szCs w:val="21"/>
        </w:rPr>
      </w:pPr>
    </w:p>
    <w:p w14:paraId="3538EC0A">
      <w:pPr>
        <w:adjustRightInd w:val="0"/>
        <w:snapToGrid w:val="0"/>
        <w:spacing w:before="156" w:beforeLines="50" w:line="360" w:lineRule="auto"/>
        <w:rPr>
          <w:rFonts w:ascii="仿宋" w:hAnsi="仿宋" w:eastAsia="仿宋" w:cs="仿宋"/>
          <w:b/>
          <w:color w:val="000000"/>
          <w:szCs w:val="21"/>
        </w:rPr>
      </w:pPr>
    </w:p>
    <w:p w14:paraId="642E8D38">
      <w:pPr>
        <w:pStyle w:val="2"/>
        <w:jc w:val="center"/>
      </w:pPr>
      <w:r>
        <w:rPr>
          <w:rFonts w:hint="eastAsia"/>
        </w:rPr>
        <w:t>第一部分  项目概述</w:t>
      </w:r>
    </w:p>
    <w:p w14:paraId="46BEEF13">
      <w:pPr>
        <w:spacing w:line="600" w:lineRule="exact"/>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00000"/>
          <w:sz w:val="28"/>
          <w:szCs w:val="28"/>
        </w:rPr>
        <w:t>华南理工大学是直属教育部的全国重点大学，是首届“全国文明校园”获得单位。如今的华南理工大学已经发展为一所以工见长，理、工、医结合，管、经、文、法等多学科协调发展的综合性研究型大学。为给学生提供优良的生活场所，方便教师与学生的生活需求，现拟公</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开</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遴选</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引进企业，具体情况如下：</w:t>
      </w:r>
    </w:p>
    <w:p w14:paraId="39F4C74A">
      <w:pPr>
        <w:spacing w:line="600" w:lineRule="exact"/>
        <w:ind w:firstLine="562" w:firstLineChars="200"/>
        <w:rPr>
          <w:rFonts w:ascii="仿宋" w:hAnsi="仿宋" w:eastAsia="仿宋" w:cs="仿宋"/>
          <w:b/>
          <w:color w:val="000000"/>
          <w:sz w:val="28"/>
          <w:szCs w:val="28"/>
        </w:rPr>
      </w:pPr>
      <w:r>
        <w:rPr>
          <w:rFonts w:hint="eastAsia" w:ascii="仿宋" w:hAnsi="仿宋" w:eastAsia="仿宋" w:cs="仿宋"/>
          <w:b/>
          <w:snapToGrid w:val="0"/>
          <w:color w:val="000000"/>
          <w:sz w:val="28"/>
          <w:szCs w:val="28"/>
        </w:rPr>
        <w:t>一、项目名称</w:t>
      </w:r>
    </w:p>
    <w:p w14:paraId="7FE4ABDD">
      <w:pPr>
        <w:spacing w:line="6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华南理工大学广州五山校区外卖智能储存管理服务商</w:t>
      </w:r>
      <w:r>
        <w:rPr>
          <w:rFonts w:hint="eastAsia" w:ascii="仿宋" w:hAnsi="仿宋" w:eastAsia="仿宋" w:cs="仿宋"/>
          <w:color w:val="000000"/>
          <w:sz w:val="28"/>
          <w:szCs w:val="28"/>
          <w:lang w:eastAsia="zh-CN"/>
        </w:rPr>
        <w:t>遴选</w:t>
      </w:r>
    </w:p>
    <w:p w14:paraId="503ECDB0">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snapToGrid w:val="0"/>
          <w:color w:val="000000"/>
          <w:sz w:val="28"/>
          <w:szCs w:val="28"/>
        </w:rPr>
        <w:t>二、项目地点</w:t>
      </w:r>
    </w:p>
    <w:p w14:paraId="408EA399">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广州市天河区五山路381号华南理工大学五山校区内，智能储存规范管理点4-5处，具体布点由校方根据师生需求指定。</w:t>
      </w:r>
    </w:p>
    <w:p w14:paraId="189D90B5">
      <w:pPr>
        <w:spacing w:line="600" w:lineRule="exact"/>
        <w:ind w:firstLine="562" w:firstLineChars="200"/>
        <w:rPr>
          <w:rFonts w:ascii="仿宋" w:hAnsi="仿宋" w:eastAsia="仿宋" w:cs="仿宋"/>
          <w:b/>
          <w:snapToGrid w:val="0"/>
          <w:color w:val="000000"/>
          <w:sz w:val="28"/>
          <w:szCs w:val="28"/>
        </w:rPr>
      </w:pPr>
      <w:r>
        <w:rPr>
          <w:rFonts w:hint="eastAsia" w:ascii="仿宋" w:hAnsi="仿宋" w:eastAsia="仿宋" w:cs="仿宋"/>
          <w:b/>
          <w:snapToGrid w:val="0"/>
          <w:color w:val="000000"/>
          <w:sz w:val="28"/>
          <w:szCs w:val="28"/>
        </w:rPr>
        <w:t>三、</w:t>
      </w:r>
      <w:r>
        <w:rPr>
          <w:rFonts w:hint="eastAsia" w:ascii="仿宋" w:hAnsi="仿宋" w:eastAsia="仿宋" w:cs="仿宋"/>
          <w:b/>
          <w:snapToGrid w:val="0"/>
          <w:color w:val="000000"/>
          <w:sz w:val="28"/>
          <w:szCs w:val="28"/>
          <w:lang w:eastAsia="zh-CN"/>
        </w:rPr>
        <w:t>遴选</w:t>
      </w:r>
      <w:r>
        <w:rPr>
          <w:rFonts w:hint="eastAsia" w:ascii="仿宋" w:hAnsi="仿宋" w:eastAsia="仿宋" w:cs="仿宋"/>
          <w:b/>
          <w:snapToGrid w:val="0"/>
          <w:color w:val="000000"/>
          <w:sz w:val="28"/>
          <w:szCs w:val="28"/>
        </w:rPr>
        <w:t>面积</w:t>
      </w:r>
    </w:p>
    <w:p w14:paraId="6E39D449">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智能存储规范管理点面积：约1-3平方米/处</w:t>
      </w:r>
    </w:p>
    <w:p w14:paraId="333D3723">
      <w:pPr>
        <w:spacing w:line="6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w:t>
      </w:r>
      <w:r>
        <w:rPr>
          <w:rFonts w:hint="eastAsia" w:ascii="仿宋" w:hAnsi="仿宋" w:eastAsia="仿宋" w:cs="仿宋"/>
          <w:b/>
          <w:color w:val="000000"/>
          <w:sz w:val="28"/>
          <w:szCs w:val="28"/>
          <w:lang w:eastAsia="zh-CN"/>
        </w:rPr>
        <w:t>遴选</w:t>
      </w:r>
      <w:r>
        <w:rPr>
          <w:rFonts w:hint="eastAsia" w:ascii="仿宋" w:hAnsi="仿宋" w:eastAsia="仿宋" w:cs="仿宋"/>
          <w:b/>
          <w:color w:val="000000"/>
          <w:sz w:val="28"/>
          <w:szCs w:val="28"/>
        </w:rPr>
        <w:t>经营对象</w:t>
      </w:r>
    </w:p>
    <w:p w14:paraId="2C155F41">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智能储存规范管理点</w:t>
      </w:r>
      <w:r>
        <w:rPr>
          <w:rFonts w:hint="eastAsia" w:ascii="仿宋" w:hAnsi="仿宋" w:eastAsia="仿宋" w:cs="仿宋"/>
          <w:snapToGrid w:val="0"/>
          <w:color w:val="000000"/>
          <w:sz w:val="28"/>
          <w:szCs w:val="28"/>
        </w:rPr>
        <w:t>：快餐、药品、水果、蔬菜、饮品等校外食品药品相关商品进校园规范配送、存储等管理综合服务商</w:t>
      </w:r>
      <w:r>
        <w:rPr>
          <w:rFonts w:hint="eastAsia" w:ascii="仿宋" w:hAnsi="仿宋" w:eastAsia="仿宋" w:cs="仿宋"/>
          <w:color w:val="000000"/>
          <w:sz w:val="28"/>
          <w:szCs w:val="28"/>
        </w:rPr>
        <w:t>。</w:t>
      </w:r>
    </w:p>
    <w:p w14:paraId="235774F3">
      <w:pPr>
        <w:spacing w:line="600" w:lineRule="exact"/>
        <w:ind w:firstLine="562" w:firstLineChars="200"/>
        <w:rPr>
          <w:rFonts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遴选</w:t>
      </w:r>
      <w:r>
        <w:rPr>
          <w:rFonts w:hint="eastAsia" w:ascii="仿宋" w:hAnsi="仿宋" w:eastAsia="仿宋" w:cs="仿宋"/>
          <w:b/>
          <w:sz w:val="28"/>
          <w:szCs w:val="28"/>
        </w:rPr>
        <w:t>服务商合同的时间</w:t>
      </w:r>
    </w:p>
    <w:p w14:paraId="2AE78822">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合同期限为</w:t>
      </w:r>
      <w:r>
        <w:rPr>
          <w:rFonts w:hint="eastAsia" w:ascii="仿宋" w:hAnsi="仿宋" w:eastAsia="仿宋" w:cs="仿宋"/>
          <w:sz w:val="28"/>
          <w:szCs w:val="28"/>
          <w:lang w:val="en-US" w:eastAsia="zh-CN"/>
        </w:rPr>
        <w:t>3</w:t>
      </w:r>
      <w:r>
        <w:rPr>
          <w:rFonts w:hint="eastAsia" w:ascii="仿宋" w:hAnsi="仿宋" w:eastAsia="仿宋" w:cs="仿宋"/>
          <w:sz w:val="28"/>
          <w:szCs w:val="28"/>
        </w:rPr>
        <w:t>年。</w:t>
      </w:r>
    </w:p>
    <w:p w14:paraId="7B1D63A6">
      <w:pPr>
        <w:spacing w:line="6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color w:val="000000"/>
          <w:sz w:val="28"/>
          <w:szCs w:val="28"/>
          <w:lang w:eastAsia="zh-CN"/>
        </w:rPr>
        <w:t>遴选</w:t>
      </w:r>
      <w:r>
        <w:rPr>
          <w:rFonts w:hint="eastAsia" w:ascii="仿宋" w:hAnsi="仿宋" w:eastAsia="仿宋" w:cs="仿宋"/>
          <w:b/>
          <w:color w:val="000000"/>
          <w:sz w:val="28"/>
          <w:szCs w:val="28"/>
        </w:rPr>
        <w:t>服务商合作方式</w:t>
      </w:r>
    </w:p>
    <w:p w14:paraId="3A7E8B9F">
      <w:pPr>
        <w:spacing w:line="600" w:lineRule="exact"/>
        <w:ind w:left="561" w:leftChars="267"/>
        <w:rPr>
          <w:rFonts w:ascii="仿宋" w:hAnsi="仿宋" w:eastAsia="仿宋" w:cs="仿宋"/>
          <w:color w:val="000000"/>
          <w:sz w:val="28"/>
          <w:szCs w:val="28"/>
          <w:u w:val="single"/>
        </w:rPr>
      </w:pPr>
      <w:r>
        <w:rPr>
          <w:rFonts w:hint="eastAsia" w:ascii="仿宋" w:hAnsi="仿宋" w:eastAsia="仿宋" w:cs="仿宋"/>
          <w:sz w:val="28"/>
          <w:szCs w:val="28"/>
        </w:rPr>
        <w:t>服务商在学校规定的</w:t>
      </w:r>
      <w:r>
        <w:rPr>
          <w:rFonts w:hint="eastAsia" w:ascii="仿宋" w:hAnsi="仿宋" w:eastAsia="仿宋" w:cs="仿宋"/>
          <w:sz w:val="28"/>
          <w:szCs w:val="28"/>
          <w:u w:val="single"/>
        </w:rPr>
        <w:t xml:space="preserve"> 免费 </w:t>
      </w:r>
      <w:r>
        <w:rPr>
          <w:rFonts w:hint="eastAsia" w:ascii="仿宋" w:hAnsi="仿宋" w:eastAsia="仿宋" w:cs="仿宋"/>
          <w:sz w:val="28"/>
          <w:szCs w:val="28"/>
        </w:rPr>
        <w:t>提供的场地内进行智能存储工作规范管理设计、设备、人员、财力等投入及保证合同期内正常的运营。</w:t>
      </w:r>
    </w:p>
    <w:p w14:paraId="2B3D2B03">
      <w:pPr>
        <w:spacing w:line="360" w:lineRule="auto"/>
        <w:rPr>
          <w:rFonts w:ascii="仿宋" w:hAnsi="仿宋" w:eastAsia="仿宋" w:cs="仿宋"/>
          <w:color w:val="000000"/>
          <w:szCs w:val="21"/>
          <w:u w:val="single"/>
        </w:rPr>
      </w:pPr>
    </w:p>
    <w:p w14:paraId="4AC9DCAF">
      <w:pPr>
        <w:pStyle w:val="2"/>
        <w:jc w:val="center"/>
      </w:pPr>
      <w:r>
        <w:rPr>
          <w:rFonts w:hint="eastAsia"/>
        </w:rPr>
        <w:t>第二部分  用户需求书</w:t>
      </w:r>
    </w:p>
    <w:p w14:paraId="2C1A18F6">
      <w:pPr>
        <w:numPr>
          <w:ilvl w:val="0"/>
          <w:numId w:val="1"/>
        </w:num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lang w:eastAsia="zh-CN"/>
        </w:rPr>
        <w:t>遴选</w:t>
      </w:r>
      <w:r>
        <w:rPr>
          <w:rFonts w:hint="eastAsia" w:ascii="仿宋" w:hAnsi="仿宋" w:eastAsia="仿宋" w:cs="仿宋"/>
          <w:b/>
          <w:color w:val="000000"/>
          <w:sz w:val="28"/>
          <w:szCs w:val="28"/>
        </w:rPr>
        <w:t>人基本要求</w:t>
      </w:r>
    </w:p>
    <w:p w14:paraId="460C0819">
      <w:pPr>
        <w:pStyle w:val="7"/>
        <w:spacing w:beforeAutospacing="0" w:after="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1、投标人须为独立承担民事责任的法人资格企业，不接受个体工商户及联合体形式的报名。</w:t>
      </w:r>
    </w:p>
    <w:p w14:paraId="6304597C">
      <w:pPr>
        <w:pStyle w:val="7"/>
        <w:spacing w:beforeAutospacing="0" w:after="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须具有从事同行业经营1年以上经验，且在广州地区需有1处以上经营场所（以经营智能储存场地经营文件为依据）。</w:t>
      </w:r>
    </w:p>
    <w:p w14:paraId="491729FC">
      <w:pPr>
        <w:pStyle w:val="7"/>
        <w:spacing w:beforeAutospacing="0" w:after="0" w:afterAutospacing="0"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r>
        <w:rPr>
          <w:rFonts w:hint="eastAsia" w:ascii="仿宋" w:hAnsi="仿宋" w:eastAsia="仿宋" w:cs="仿宋"/>
          <w:color w:val="0D0D0D" w:themeColor="text1" w:themeTint="F2"/>
          <w:sz w:val="28"/>
          <w:szCs w:val="28"/>
          <w:highlight w:val="none"/>
          <w14:textFill>
            <w14:solidFill>
              <w14:schemeClr w14:val="tx1">
                <w14:lumMod w14:val="95000"/>
                <w14:lumOff w14:val="5000"/>
              </w14:schemeClr>
            </w14:solidFill>
          </w14:textFill>
        </w:rPr>
        <w:t>投放的机器设备必须符合国家相关质检安全标准，</w:t>
      </w:r>
      <w:r>
        <w:rPr>
          <w:rFonts w:hint="eastAsia" w:ascii="仿宋" w:hAnsi="仿宋" w:eastAsia="仿宋" w:cs="仿宋"/>
          <w:color w:val="000000"/>
          <w:sz w:val="28"/>
          <w:szCs w:val="28"/>
          <w:highlight w:val="none"/>
        </w:rPr>
        <w:t>每台机器支持</w:t>
      </w:r>
      <w:r>
        <w:rPr>
          <w:rFonts w:hint="eastAsia" w:ascii="仿宋" w:hAnsi="仿宋" w:eastAsia="仿宋" w:cs="仿宋"/>
          <w:color w:val="000000"/>
          <w:sz w:val="28"/>
          <w:szCs w:val="28"/>
          <w:highlight w:val="none"/>
          <w:lang w:val="en-US" w:eastAsia="zh-CN"/>
        </w:rPr>
        <w:t>使用</w:t>
      </w:r>
      <w:r>
        <w:rPr>
          <w:rFonts w:hint="eastAsia" w:ascii="仿宋" w:hAnsi="仿宋" w:eastAsia="仿宋" w:cs="仿宋"/>
          <w:color w:val="000000"/>
          <w:sz w:val="28"/>
          <w:szCs w:val="28"/>
          <w:highlight w:val="none"/>
        </w:rPr>
        <w:t>微信</w:t>
      </w: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支付宝</w:t>
      </w:r>
      <w:r>
        <w:rPr>
          <w:rFonts w:hint="eastAsia" w:ascii="仿宋" w:hAnsi="仿宋" w:eastAsia="仿宋" w:cs="仿宋"/>
          <w:color w:val="000000"/>
          <w:sz w:val="28"/>
          <w:szCs w:val="28"/>
          <w:highlight w:val="none"/>
          <w:lang w:val="en-US" w:eastAsia="zh-CN"/>
        </w:rPr>
        <w:t>等软件</w:t>
      </w:r>
      <w:r>
        <w:rPr>
          <w:rFonts w:hint="eastAsia" w:ascii="仿宋" w:hAnsi="仿宋" w:eastAsia="仿宋" w:cs="仿宋"/>
          <w:color w:val="000000"/>
          <w:sz w:val="28"/>
          <w:szCs w:val="28"/>
          <w:highlight w:val="none"/>
        </w:rPr>
        <w:t>为学校师生</w:t>
      </w:r>
      <w:r>
        <w:rPr>
          <w:rFonts w:hint="eastAsia" w:ascii="仿宋" w:hAnsi="仿宋" w:eastAsia="仿宋" w:cs="仿宋"/>
          <w:color w:val="000000"/>
          <w:sz w:val="28"/>
          <w:szCs w:val="28"/>
          <w:highlight w:val="none"/>
          <w:lang w:val="en-US" w:eastAsia="zh-CN"/>
        </w:rPr>
        <w:t>提供</w:t>
      </w:r>
      <w:r>
        <w:rPr>
          <w:rFonts w:hint="eastAsia" w:ascii="仿宋" w:hAnsi="仿宋" w:eastAsia="仿宋" w:cs="仿宋"/>
          <w:color w:val="000000"/>
          <w:sz w:val="28"/>
          <w:szCs w:val="28"/>
          <w:highlight w:val="none"/>
        </w:rPr>
        <w:t>免费</w:t>
      </w:r>
      <w:r>
        <w:rPr>
          <w:rFonts w:hint="eastAsia" w:ascii="仿宋" w:hAnsi="仿宋" w:eastAsia="仿宋" w:cs="仿宋"/>
          <w:color w:val="000000"/>
          <w:sz w:val="28"/>
          <w:szCs w:val="28"/>
          <w:highlight w:val="none"/>
          <w:lang w:val="en-US" w:eastAsia="zh-CN"/>
        </w:rPr>
        <w:t>取餐服务</w:t>
      </w:r>
      <w:r>
        <w:rPr>
          <w:rFonts w:hint="eastAsia" w:ascii="仿宋" w:hAnsi="仿宋" w:eastAsia="仿宋" w:cs="仿宋"/>
          <w:color w:val="000000"/>
          <w:sz w:val="28"/>
          <w:szCs w:val="28"/>
          <w:highlight w:val="none"/>
        </w:rPr>
        <w:t>。</w:t>
      </w:r>
    </w:p>
    <w:p w14:paraId="00D64596">
      <w:pPr>
        <w:pStyle w:val="7"/>
        <w:spacing w:beforeAutospacing="0" w:after="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4、投标人需承诺全部设备投放点设备故障处理及卫生清洁工作应在24小时以内，取餐、取物故障处理24小时电话热线在线。</w:t>
      </w:r>
    </w:p>
    <w:p w14:paraId="63E558BC">
      <w:pPr>
        <w:pStyle w:val="7"/>
        <w:spacing w:beforeAutospacing="0" w:after="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5、需有定点机器设备维护人员和定点卫生清洁人员各1名。</w:t>
      </w:r>
    </w:p>
    <w:p w14:paraId="6C9DD78A">
      <w:pPr>
        <w:pStyle w:val="7"/>
        <w:spacing w:beforeAutospacing="0" w:after="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6、投标企业信誉良好，在以往经营过程中无投诉、消防安全、债务纠纷等不良记录（须在</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文件中承诺或提供政府部门出具的相关证明）。</w:t>
      </w:r>
    </w:p>
    <w:p w14:paraId="6FBEB54D">
      <w:pPr>
        <w:pStyle w:val="7"/>
        <w:spacing w:beforeAutospacing="0" w:after="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w:t>
      </w:r>
      <w:r>
        <w:rPr>
          <w:rFonts w:hint="eastAsia" w:ascii="仿宋" w:hAnsi="仿宋" w:eastAsia="仿宋" w:cs="仿宋"/>
          <w:sz w:val="28"/>
          <w:szCs w:val="28"/>
        </w:rPr>
        <w:t>中标人需要承担运营中各设备产生的电费。</w:t>
      </w:r>
    </w:p>
    <w:p w14:paraId="3EE39B36">
      <w:pPr>
        <w:numPr>
          <w:ilvl w:val="0"/>
          <w:numId w:val="1"/>
        </w:num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投标人报名须知</w:t>
      </w:r>
    </w:p>
    <w:p w14:paraId="75EDF0ED">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1、投标人须接受</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文件的各项要求，并在投标文件中明确表明。</w:t>
      </w:r>
    </w:p>
    <w:p w14:paraId="30D26C81">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2、报名需提交资料（报名所提交的复印件需加盖公章）：</w:t>
      </w:r>
    </w:p>
    <w:p w14:paraId="771D8F57">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（1）企业法人营业执照复印件、法定代表人身份证复印件、委托人身份证复印件及公司委托书、联系人及联系方式；</w:t>
      </w:r>
    </w:p>
    <w:p w14:paraId="2D68DF31">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（2）从20</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年1月1日至今未被列入政府采购严重违法失信行为记录名单，未被“信用中国”网站列入失信被执行人、重大税收违法案件当事人。</w:t>
      </w:r>
    </w:p>
    <w:p w14:paraId="5B84BFA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（3）本项目不接受联合体投标的书面声明。</w:t>
      </w:r>
    </w:p>
    <w:p w14:paraId="529F606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3、投标人须在投标文件递交截止时间之前将投标文件送达</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人指定处，一律</w:t>
      </w:r>
      <w:r>
        <w:rPr>
          <w:rFonts w:ascii="仿宋" w:hAnsi="仿宋" w:eastAsia="仿宋" w:cs="仿宋"/>
          <w:color w:val="000000"/>
          <w:sz w:val="28"/>
          <w:szCs w:val="28"/>
        </w:rPr>
        <w:t>拒绝接收</w:t>
      </w:r>
      <w:r>
        <w:rPr>
          <w:rFonts w:hint="eastAsia" w:ascii="仿宋" w:hAnsi="仿宋" w:eastAsia="仿宋" w:cs="仿宋"/>
          <w:color w:val="000000"/>
          <w:sz w:val="28"/>
          <w:szCs w:val="28"/>
        </w:rPr>
        <w:t>逾期递交的投标文件。</w:t>
      </w:r>
    </w:p>
    <w:p w14:paraId="6A255457">
      <w:pPr>
        <w:numPr>
          <w:ilvl w:val="0"/>
          <w:numId w:val="1"/>
        </w:numPr>
        <w:tabs>
          <w:tab w:val="left" w:pos="360"/>
        </w:tabs>
        <w:spacing w:line="360" w:lineRule="auto"/>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遴选</w:t>
      </w:r>
      <w:r>
        <w:rPr>
          <w:rFonts w:hint="eastAsia" w:ascii="仿宋" w:hAnsi="仿宋" w:eastAsia="仿宋" w:cs="仿宋"/>
          <w:b/>
          <w:color w:val="000000"/>
          <w:kern w:val="0"/>
          <w:sz w:val="28"/>
          <w:szCs w:val="28"/>
        </w:rPr>
        <w:t>声明</w:t>
      </w:r>
    </w:p>
    <w:p w14:paraId="5AB9209D">
      <w:pPr>
        <w:tabs>
          <w:tab w:val="left" w:pos="360"/>
        </w:tabs>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1、我单位严格遵循“公平、公正、公开”的原则进行</w:t>
      </w:r>
      <w:r>
        <w:rPr>
          <w:rFonts w:hint="eastAsia" w:ascii="仿宋" w:hAnsi="仿宋" w:eastAsia="仿宋" w:cs="仿宋"/>
          <w:color w:val="000000"/>
          <w:kern w:val="0"/>
          <w:sz w:val="28"/>
          <w:szCs w:val="28"/>
          <w:lang w:eastAsia="zh-CN"/>
        </w:rPr>
        <w:t>遴选</w:t>
      </w:r>
      <w:r>
        <w:rPr>
          <w:rFonts w:hint="eastAsia" w:ascii="仿宋" w:hAnsi="仿宋" w:eastAsia="仿宋" w:cs="仿宋"/>
          <w:color w:val="000000"/>
          <w:kern w:val="0"/>
          <w:sz w:val="28"/>
          <w:szCs w:val="28"/>
        </w:rPr>
        <w:t>活动。</w:t>
      </w:r>
    </w:p>
    <w:p w14:paraId="01828397">
      <w:pPr>
        <w:tabs>
          <w:tab w:val="left" w:pos="360"/>
        </w:tabs>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2、报名满足两家及两家以上的，则采取在有效服务方案基础上综合评分的方式引进商家。只有一家报名的，则</w:t>
      </w:r>
      <w:r>
        <w:rPr>
          <w:rFonts w:hint="eastAsia" w:ascii="仿宋" w:hAnsi="仿宋" w:eastAsia="仿宋" w:cs="仿宋"/>
          <w:color w:val="000000"/>
          <w:kern w:val="0"/>
          <w:sz w:val="28"/>
          <w:szCs w:val="28"/>
          <w:lang w:eastAsia="zh-CN"/>
        </w:rPr>
        <w:t>由甲方重新进行二次遴选</w:t>
      </w:r>
      <w:r>
        <w:rPr>
          <w:rFonts w:hint="eastAsia" w:ascii="仿宋" w:hAnsi="仿宋" w:eastAsia="仿宋" w:cs="仿宋"/>
          <w:color w:val="000000"/>
          <w:kern w:val="0"/>
          <w:sz w:val="28"/>
          <w:szCs w:val="28"/>
        </w:rPr>
        <w:t>。</w:t>
      </w:r>
    </w:p>
    <w:p w14:paraId="5FE14A0A">
      <w:pPr>
        <w:tabs>
          <w:tab w:val="left" w:pos="360"/>
        </w:tabs>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3、投标人服务方案中投入之人力、物力符合项目最低需求，否则视为无效投标。</w:t>
      </w:r>
    </w:p>
    <w:p w14:paraId="6512A77E">
      <w:pPr>
        <w:tabs>
          <w:tab w:val="left" w:pos="360"/>
        </w:tabs>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4、为了保证</w:t>
      </w:r>
      <w:r>
        <w:rPr>
          <w:rFonts w:hint="eastAsia" w:ascii="仿宋" w:hAnsi="仿宋" w:eastAsia="仿宋" w:cs="仿宋"/>
          <w:color w:val="000000"/>
          <w:kern w:val="0"/>
          <w:sz w:val="28"/>
          <w:szCs w:val="28"/>
          <w:lang w:eastAsia="zh-CN"/>
        </w:rPr>
        <w:t>遴选</w:t>
      </w:r>
      <w:r>
        <w:rPr>
          <w:rFonts w:hint="eastAsia" w:ascii="仿宋" w:hAnsi="仿宋" w:eastAsia="仿宋" w:cs="仿宋"/>
          <w:color w:val="000000"/>
          <w:kern w:val="0"/>
          <w:sz w:val="28"/>
          <w:szCs w:val="28"/>
        </w:rPr>
        <w:t>活动的公平公正性，维护投标人的合法权益，对任何串标、围标等违反国家相关法律行为的将取消投标资格。</w:t>
      </w:r>
    </w:p>
    <w:p w14:paraId="5D55AEEF">
      <w:pPr>
        <w:tabs>
          <w:tab w:val="left" w:pos="360"/>
        </w:tabs>
        <w:spacing w:line="360" w:lineRule="auto"/>
        <w:rPr>
          <w:rFonts w:ascii="仿宋" w:hAnsi="仿宋" w:eastAsia="仿宋" w:cs="仿宋"/>
          <w:b/>
          <w:color w:val="000000"/>
          <w:sz w:val="44"/>
          <w:szCs w:val="44"/>
        </w:rPr>
      </w:pPr>
    </w:p>
    <w:p w14:paraId="66A8FA3D">
      <w:pPr>
        <w:tabs>
          <w:tab w:val="left" w:pos="360"/>
        </w:tabs>
        <w:spacing w:line="360" w:lineRule="auto"/>
        <w:rPr>
          <w:rFonts w:ascii="仿宋" w:hAnsi="仿宋" w:eastAsia="仿宋" w:cs="仿宋"/>
          <w:b/>
          <w:color w:val="000000"/>
          <w:sz w:val="44"/>
          <w:szCs w:val="44"/>
        </w:rPr>
      </w:pPr>
    </w:p>
    <w:p w14:paraId="2252DA14">
      <w:pPr>
        <w:tabs>
          <w:tab w:val="left" w:pos="360"/>
        </w:tabs>
        <w:spacing w:line="360" w:lineRule="auto"/>
        <w:rPr>
          <w:rFonts w:ascii="仿宋" w:hAnsi="仿宋" w:eastAsia="仿宋" w:cs="仿宋"/>
          <w:b/>
          <w:color w:val="000000"/>
          <w:sz w:val="44"/>
          <w:szCs w:val="44"/>
        </w:rPr>
      </w:pPr>
    </w:p>
    <w:p w14:paraId="5F157290">
      <w:pPr>
        <w:tabs>
          <w:tab w:val="left" w:pos="360"/>
        </w:tabs>
        <w:spacing w:line="360" w:lineRule="auto"/>
        <w:rPr>
          <w:rFonts w:ascii="仿宋" w:hAnsi="仿宋" w:eastAsia="仿宋" w:cs="仿宋"/>
          <w:b/>
          <w:color w:val="000000"/>
          <w:sz w:val="44"/>
          <w:szCs w:val="44"/>
        </w:rPr>
      </w:pPr>
    </w:p>
    <w:p w14:paraId="1EDAEAD4">
      <w:pPr>
        <w:tabs>
          <w:tab w:val="left" w:pos="360"/>
        </w:tabs>
        <w:spacing w:line="360" w:lineRule="auto"/>
        <w:rPr>
          <w:rFonts w:ascii="仿宋" w:hAnsi="仿宋" w:eastAsia="仿宋" w:cs="仿宋"/>
          <w:b/>
          <w:color w:val="000000"/>
          <w:szCs w:val="21"/>
        </w:rPr>
      </w:pPr>
    </w:p>
    <w:p w14:paraId="69163EE7">
      <w:pPr>
        <w:pStyle w:val="2"/>
        <w:jc w:val="center"/>
      </w:pPr>
      <w:r>
        <w:rPr>
          <w:rFonts w:hint="eastAsia"/>
        </w:rPr>
        <w:t>第三部分 中标人须知</w:t>
      </w:r>
    </w:p>
    <w:p w14:paraId="6142E27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结果将在华南理工大学后勤处网上进行公示。请各投标人自行查阅。</w:t>
      </w:r>
    </w:p>
    <w:p w14:paraId="159BAC54">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人在确定中标人后，以书面形式向中标人发出电子版的《中标通知书》。</w:t>
      </w:r>
    </w:p>
    <w:p w14:paraId="032C4FC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三、中标人接到《中标通知书》后，如无特殊原因，应在收到《中标通知书》20日内向</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人签署合同及投入设备、人员等到岗到位；否则</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人将另行确定中标人</w:t>
      </w:r>
    </w:p>
    <w:p w14:paraId="5BDF3A47">
      <w:pPr>
        <w:tabs>
          <w:tab w:val="left" w:pos="360"/>
        </w:tabs>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四、投标人中标后不得以任何理由任何方式转让他人，一旦发现，中标结果无效，签订合作合同后再转让他人经营者将终止合同，并追究其法律责任和因此给校方带来的一切经济损失。</w:t>
      </w:r>
    </w:p>
    <w:p w14:paraId="5A4EC467">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五、投标人中标后必须承诺严格执行双方签订的《合作合同》和严格遵守我校的《华南理工大学五山校区商业网点管理规定》。</w:t>
      </w:r>
    </w:p>
    <w:p w14:paraId="46667E4D">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八、中标人在装修施工期间应严格遵守国家、省、市及我校有关消防、施工安全及文明施工等相关规定，建立健全的施工管理制度和防护措施。若违反该项规定而造成的经济损失和法律责任，均由承租方负责承担。</w:t>
      </w:r>
    </w:p>
    <w:p w14:paraId="50214AC0">
      <w:pPr>
        <w:spacing w:line="360" w:lineRule="auto"/>
        <w:ind w:firstLine="560" w:firstLineChars="200"/>
        <w:rPr>
          <w:rFonts w:ascii="仿宋" w:hAnsi="仿宋" w:eastAsia="仿宋" w:cs="仿宋"/>
          <w:color w:val="000000"/>
          <w:sz w:val="28"/>
          <w:szCs w:val="28"/>
        </w:rPr>
      </w:pPr>
    </w:p>
    <w:p w14:paraId="0C374113">
      <w:pPr>
        <w:spacing w:line="360" w:lineRule="auto"/>
        <w:ind w:firstLine="560" w:firstLineChars="200"/>
        <w:rPr>
          <w:rFonts w:ascii="仿宋" w:hAnsi="仿宋" w:eastAsia="仿宋" w:cs="仿宋"/>
          <w:color w:val="000000"/>
          <w:sz w:val="28"/>
          <w:szCs w:val="28"/>
        </w:rPr>
      </w:pPr>
    </w:p>
    <w:p w14:paraId="11EBACBE">
      <w:pPr>
        <w:spacing w:line="360" w:lineRule="auto"/>
        <w:ind w:firstLine="560" w:firstLineChars="200"/>
        <w:rPr>
          <w:rFonts w:ascii="仿宋" w:hAnsi="仿宋" w:eastAsia="仿宋" w:cs="仿宋"/>
          <w:color w:val="000000"/>
          <w:sz w:val="28"/>
          <w:szCs w:val="28"/>
        </w:rPr>
      </w:pPr>
    </w:p>
    <w:p w14:paraId="53FA3EC4">
      <w:pPr>
        <w:spacing w:line="360" w:lineRule="auto"/>
        <w:ind w:firstLine="560" w:firstLineChars="200"/>
        <w:rPr>
          <w:rFonts w:ascii="仿宋" w:hAnsi="仿宋" w:eastAsia="仿宋" w:cs="仿宋"/>
          <w:color w:val="000000"/>
          <w:sz w:val="28"/>
          <w:szCs w:val="28"/>
        </w:rPr>
      </w:pPr>
    </w:p>
    <w:p w14:paraId="30AE7785">
      <w:pPr>
        <w:pStyle w:val="2"/>
        <w:jc w:val="center"/>
      </w:pPr>
      <w:r>
        <w:rPr>
          <w:rFonts w:hint="eastAsia"/>
        </w:rPr>
        <w:t>第四部分  合同范本</w:t>
      </w:r>
    </w:p>
    <w:p w14:paraId="13BBD9D9">
      <w:pPr>
        <w:spacing w:line="360" w:lineRule="auto"/>
        <w:ind w:firstLine="723" w:firstLineChars="200"/>
        <w:jc w:val="center"/>
        <w:rPr>
          <w:rFonts w:ascii="仿宋" w:hAnsi="仿宋" w:eastAsia="仿宋" w:cs="仿宋"/>
          <w:b/>
          <w:sz w:val="36"/>
          <w:szCs w:val="36"/>
        </w:rPr>
      </w:pPr>
      <w:r>
        <w:rPr>
          <w:rFonts w:hint="eastAsia" w:ascii="仿宋" w:hAnsi="仿宋" w:eastAsia="仿宋" w:cs="仿宋"/>
          <w:b/>
          <w:sz w:val="36"/>
          <w:szCs w:val="36"/>
        </w:rPr>
        <w:t>华南理工大学合作合同</w:t>
      </w:r>
    </w:p>
    <w:p w14:paraId="18D8AA7D">
      <w:pPr>
        <w:widowControl/>
        <w:jc w:val="right"/>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ascii="微软雅黑" w:hAnsi="微软雅黑" w:eastAsia="微软雅黑" w:cs="宋体"/>
          <w:kern w:val="0"/>
          <w:sz w:val="18"/>
          <w:szCs w:val="18"/>
        </w:rPr>
        <w:t>         </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w:t>
      </w:r>
    </w:p>
    <w:p w14:paraId="628C9201">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甲方：                        </w:t>
      </w:r>
    </w:p>
    <w:p w14:paraId="0C1F6988">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地址：</w:t>
      </w:r>
    </w:p>
    <w:p w14:paraId="2D2B62B2">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联系人：</w:t>
      </w:r>
    </w:p>
    <w:p w14:paraId="0C8138EF">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联系电话：</w:t>
      </w:r>
    </w:p>
    <w:p w14:paraId="401F5AA4">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邮箱：</w:t>
      </w:r>
    </w:p>
    <w:p w14:paraId="0DD4411A">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w:t>
      </w:r>
    </w:p>
    <w:p w14:paraId="7EC79FE8">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xml:space="preserve">乙方： </w:t>
      </w:r>
    </w:p>
    <w:p w14:paraId="38C2CB82">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xml:space="preserve">地址： </w:t>
      </w:r>
    </w:p>
    <w:p w14:paraId="0AF73279">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联系人：</w:t>
      </w:r>
    </w:p>
    <w:p w14:paraId="398845CD">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联系电话：</w:t>
      </w:r>
    </w:p>
    <w:p w14:paraId="4F8BBFA8">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办公联系：</w:t>
      </w:r>
    </w:p>
    <w:p w14:paraId="2E1ECF80">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w:t>
      </w:r>
    </w:p>
    <w:p w14:paraId="66A423D3">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鉴于乙方的智能存取柜及自助服务系统（以下统称“智能柜”）可为甲方的楼宇提供智能终端存储食品药品等服务，甲乙双方经友好协商，就甲方所有/管理的物业范围内安装放置智能柜事宜并提供一体化综合服务，达成如下协议：</w:t>
      </w:r>
    </w:p>
    <w:p w14:paraId="2E04A7C8">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w:t>
      </w:r>
    </w:p>
    <w:p w14:paraId="3143A70E">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一、 定义</w:t>
      </w:r>
    </w:p>
    <w:p w14:paraId="17F2B9A6">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智能柜业务：乙方通过无线通讯等技术手段实现的供配送/运输人员在一定时间内存放一定体积货物，由收货人通过一定验证方式取走货物的服务。</w:t>
      </w:r>
    </w:p>
    <w:p w14:paraId="1A05DA80">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2)  点位：甲方向乙方提供放置智能柜的场地。</w:t>
      </w:r>
    </w:p>
    <w:p w14:paraId="411719B8">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二、 合作期限</w:t>
      </w:r>
    </w:p>
    <w:p w14:paraId="2FCB868E">
      <w:pPr>
        <w:spacing w:line="360" w:lineRule="auto"/>
        <w:ind w:firstLine="560" w:firstLineChars="200"/>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合作期限自202</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年     月     日起至202</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8</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xml:space="preserve">   年      月      日止</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；（每年度由甲方对乙方</w:t>
      </w:r>
      <w:r>
        <w:rPr>
          <w:rFonts w:hint="eastAsia" w:ascii="仿宋" w:hAnsi="仿宋" w:eastAsia="仿宋" w:cs="仿宋"/>
          <w:color w:val="FF0000"/>
          <w:sz w:val="28"/>
          <w:szCs w:val="28"/>
        </w:rPr>
        <w:t>经营方式、服务质量等内容进行考核</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，如考核不合格甲方有权提前解除合同。）</w:t>
      </w:r>
    </w:p>
    <w:p w14:paraId="2582CE1C">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三、 点位及费用支付</w:t>
      </w:r>
    </w:p>
    <w:p w14:paraId="1EE72654">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铺设点位的条件要求：铺设点位须位于室内/半室内/室外，有方便可接入的电源，电源符合标准电源220V/50HZ。场地有手机信号覆盖良好，方便骑手及用户进入，且卫生条件较好（包括但不限于点位及点位附近不得有厕所、垃圾桶等）。</w:t>
      </w:r>
    </w:p>
    <w:tbl>
      <w:tblPr>
        <w:tblStyle w:val="8"/>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52"/>
        <w:gridCol w:w="2232"/>
        <w:gridCol w:w="2071"/>
        <w:gridCol w:w="3516"/>
      </w:tblGrid>
      <w:tr w14:paraId="5379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1052" w:type="dxa"/>
            <w:shd w:val="clear" w:color="auto" w:fill="BDD6EE"/>
            <w:vAlign w:val="center"/>
          </w:tcPr>
          <w:p w14:paraId="04A83B84">
            <w:pPr>
              <w:spacing w:line="360" w:lineRule="auto"/>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序号</w:t>
            </w:r>
          </w:p>
        </w:tc>
        <w:tc>
          <w:tcPr>
            <w:tcW w:w="2232" w:type="dxa"/>
            <w:shd w:val="clear" w:color="auto" w:fill="BDD6EE"/>
            <w:vAlign w:val="center"/>
          </w:tcPr>
          <w:p w14:paraId="099DEE7F">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场地位置</w:t>
            </w:r>
          </w:p>
        </w:tc>
        <w:tc>
          <w:tcPr>
            <w:tcW w:w="2071" w:type="dxa"/>
            <w:shd w:val="clear" w:color="auto" w:fill="BDD6EE"/>
            <w:vAlign w:val="center"/>
          </w:tcPr>
          <w:p w14:paraId="0BEFE861">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柜机位置</w:t>
            </w:r>
          </w:p>
        </w:tc>
        <w:tc>
          <w:tcPr>
            <w:tcW w:w="3516" w:type="dxa"/>
            <w:shd w:val="clear" w:color="auto" w:fill="BDD6EE"/>
            <w:vAlign w:val="center"/>
          </w:tcPr>
          <w:p w14:paraId="2B4AB70C">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柜体组合</w:t>
            </w:r>
          </w:p>
        </w:tc>
      </w:tr>
      <w:tr w14:paraId="64EE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1052" w:type="dxa"/>
            <w:vAlign w:val="center"/>
          </w:tcPr>
          <w:p w14:paraId="50DDBA97">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w:t>
            </w:r>
          </w:p>
        </w:tc>
        <w:tc>
          <w:tcPr>
            <w:tcW w:w="2232" w:type="dxa"/>
            <w:vAlign w:val="center"/>
          </w:tcPr>
          <w:p w14:paraId="662053AE">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p>
        </w:tc>
        <w:tc>
          <w:tcPr>
            <w:tcW w:w="2071" w:type="dxa"/>
            <w:vAlign w:val="center"/>
          </w:tcPr>
          <w:p w14:paraId="49427C02">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p>
        </w:tc>
        <w:tc>
          <w:tcPr>
            <w:tcW w:w="3516" w:type="dxa"/>
            <w:vAlign w:val="center"/>
          </w:tcPr>
          <w:p w14:paraId="388CD512">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p>
        </w:tc>
      </w:tr>
    </w:tbl>
    <w:p w14:paraId="20FD71EF">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摆放点位的照片见附件；因智能柜业务受实际楼宇入驻率、外卖订单情况影响很大，乙方可一次性配齐1个主柜和【】个副柜。</w:t>
      </w:r>
    </w:p>
    <w:p w14:paraId="04CF0544">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2)   电费：</w:t>
      </w:r>
      <w:r>
        <w:rPr>
          <w:rFonts w:hint="eastAsia" w:ascii="仿宋" w:hAnsi="仿宋" w:eastAsia="仿宋" w:cs="仿宋"/>
          <w:color w:val="FF0000"/>
          <w:sz w:val="28"/>
          <w:szCs w:val="28"/>
        </w:rPr>
        <w:t>上述区域共  个点位</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w:t>
      </w:r>
      <w:r>
        <w:rPr>
          <w:rFonts w:hint="eastAsia" w:ascii="仿宋" w:hAnsi="仿宋" w:eastAsia="仿宋" w:cs="仿宋"/>
          <w:color w:val="FF0000"/>
          <w:sz w:val="28"/>
          <w:szCs w:val="28"/>
        </w:rPr>
        <w:t>每个点位的电费具体支付方式由乙方与甲方管理单位另行签订用电使用合同支出。</w:t>
      </w:r>
    </w:p>
    <w:p w14:paraId="63661002">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3）甲方在每个点位免费提供1-3平方米占地面积为乙方进行智能存储规范管理使用，不收取场地使用费用。乙方安装之设备、材料、人工费用等由乙方承担。</w:t>
      </w:r>
    </w:p>
    <w:p w14:paraId="1CA4AEB5">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四、 甲方权利和义务</w:t>
      </w:r>
    </w:p>
    <w:p w14:paraId="43DC4712">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甲方应保证有权或已获得合法授权签署并履行本协议。如甲方前述资格发生变化，应在知悉之日起30日内书面通知乙方。</w:t>
      </w:r>
    </w:p>
    <w:p w14:paraId="69064607">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2)   甲方提供稳定电源，确保智能柜约定点位不被迁移；如智能柜需补充或点位偏僻不利于用户发现，任何一方认为需要调整智能柜摆放位置，应事前取得对方同意，双方达成一致后，</w:t>
      </w:r>
      <w:r>
        <w:rPr>
          <w:rFonts w:hint="eastAsia" w:ascii="仿宋" w:hAnsi="仿宋" w:eastAsia="仿宋" w:cs="仿宋"/>
          <w:color w:val="FF0000"/>
          <w:sz w:val="28"/>
          <w:szCs w:val="28"/>
        </w:rPr>
        <w:t>乙方自行调整</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；如未协商一致，一方擅自变更约定的点位位置，给守约方造成的损失由违约方承担。</w:t>
      </w:r>
    </w:p>
    <w:p w14:paraId="67E9E35D">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3)   如发现智能柜存在故障、损坏或者有使用者投诉等异常情况，应及时通知乙方现场维护人，乙方派人检查、维修。</w:t>
      </w:r>
    </w:p>
    <w:p w14:paraId="76F5191D">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4)   在本协议期限内，甲方保证乙方享有场地的专有使用权</w:t>
      </w:r>
      <w:r>
        <w:rPr>
          <w:rFonts w:hint="eastAsia" w:ascii="仿宋" w:hAnsi="仿宋" w:eastAsia="仿宋" w:cs="仿宋"/>
          <w:color w:val="FF0000"/>
          <w:sz w:val="28"/>
          <w:szCs w:val="28"/>
        </w:rPr>
        <w:t>，如有其他任何用途需提前15日告知乙方，经双方协商同意后再另行规划。</w:t>
      </w:r>
    </w:p>
    <w:p w14:paraId="2F1F494C">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5)   未经对方的书面同意，任何一方不得将本协议内容以及合作过程中对方披露的涉及商业模式、经营规划等保密信息披露给任何第三方。</w:t>
      </w:r>
    </w:p>
    <w:p w14:paraId="07E3B60F">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6)   在本协议合作范围内及甲方所属的其他场地，如发生第三方侵犯乙方专有技术和知识产权的侵权行为，甲方为乙方正当维权提供必要协助，包括获取侵权证据、消除侵权影响、移除侵权的物品、停止侵权的服务等措施。</w:t>
      </w:r>
    </w:p>
    <w:p w14:paraId="0FC39044">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7)   甲方不得修改、变更、反向工程、反编译或反汇编乙方配备的智能终端设备及应用程序，或采取其他措施侵害乙方知识产权及其他合法权益，也不得允许第三方进行此类修改、变更、反向工程、反编译、反汇编或其他侵害乙方知识产权和合法权益的行为。</w:t>
      </w:r>
    </w:p>
    <w:p w14:paraId="50B85B47">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8)    </w:t>
      </w:r>
      <w:r>
        <w:rPr>
          <w:rFonts w:hint="eastAsia" w:ascii="仿宋" w:hAnsi="仿宋" w:eastAsia="仿宋" w:cs="仿宋"/>
          <w:color w:val="FF0000"/>
          <w:sz w:val="28"/>
          <w:szCs w:val="28"/>
        </w:rPr>
        <w:t>甲方有权因不可抗拒因素（台风、暴雨、流行病毒等）要求乙方配合甲方工作，具体配合方式由双方约定 。  </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w:t>
      </w:r>
    </w:p>
    <w:p w14:paraId="6DC6EEF4">
      <w:pPr>
        <w:spacing w:line="360" w:lineRule="auto"/>
        <w:ind w:firstLine="560" w:firstLineChars="200"/>
        <w:jc w:val="left"/>
        <w:textAlignment w:val="top"/>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五、 乙方权利与义务</w:t>
      </w:r>
    </w:p>
    <w:p w14:paraId="067B54D0">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w:t>
      </w:r>
      <w:r>
        <w:rPr>
          <w:rFonts w:hint="eastAsia" w:ascii="仿宋" w:hAnsi="仿宋" w:eastAsia="仿宋" w:cs="仿宋"/>
          <w:color w:val="FF0000"/>
          <w:sz w:val="28"/>
          <w:szCs w:val="28"/>
        </w:rPr>
        <w:t>乙方须承诺在合同期内，不对</w:t>
      </w:r>
      <w:r>
        <w:rPr>
          <w:rFonts w:hint="eastAsia" w:ascii="仿宋" w:hAnsi="仿宋" w:eastAsia="仿宋" w:cs="仿宋"/>
          <w:color w:val="FF0000"/>
          <w:sz w:val="28"/>
          <w:szCs w:val="28"/>
          <w:highlight w:val="none"/>
          <w:lang w:val="en-US" w:eastAsia="zh-CN"/>
        </w:rPr>
        <w:t>取餐</w:t>
      </w:r>
      <w:r>
        <w:rPr>
          <w:rFonts w:hint="eastAsia" w:ascii="仿宋" w:hAnsi="仿宋" w:eastAsia="仿宋" w:cs="仿宋"/>
          <w:color w:val="FF0000"/>
          <w:sz w:val="28"/>
          <w:szCs w:val="28"/>
          <w:highlight w:val="none"/>
        </w:rPr>
        <w:t>用户</w:t>
      </w:r>
      <w:r>
        <w:rPr>
          <w:rFonts w:hint="eastAsia" w:ascii="仿宋" w:hAnsi="仿宋" w:eastAsia="仿宋" w:cs="仿宋"/>
          <w:color w:val="FF0000"/>
          <w:sz w:val="28"/>
          <w:szCs w:val="28"/>
        </w:rPr>
        <w:t>收取任何使用费用（超时占位费除外），保障甲方的使用需求。</w:t>
      </w:r>
    </w:p>
    <w:p w14:paraId="45625A0A">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2)   </w:t>
      </w:r>
      <w:r>
        <w:rPr>
          <w:rFonts w:hint="eastAsia" w:ascii="仿宋" w:hAnsi="仿宋" w:eastAsia="仿宋" w:cs="仿宋"/>
          <w:color w:val="FF0000"/>
          <w:sz w:val="28"/>
          <w:szCs w:val="28"/>
        </w:rPr>
        <w:t>乙方自行对约定区域进行施工，包括地基搭建、水电牵引等。</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乙方享有场地的专有使用权，</w:t>
      </w:r>
      <w:r>
        <w:rPr>
          <w:rFonts w:hint="eastAsia" w:ascii="仿宋" w:hAnsi="仿宋" w:eastAsia="仿宋" w:cs="仿宋"/>
          <w:color w:val="FF0000"/>
          <w:sz w:val="28"/>
          <w:szCs w:val="28"/>
        </w:rPr>
        <w:t>并承诺若无甲方同意，不得在智能柜体投放任何广告类信息。</w:t>
      </w:r>
    </w:p>
    <w:p w14:paraId="076FC39A">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3)   乙方及其指定运营公司应遵守国家</w:t>
      </w:r>
      <w:r>
        <w:rPr>
          <w:rFonts w:hint="eastAsia" w:ascii="仿宋" w:hAnsi="仿宋" w:eastAsia="仿宋" w:cs="仿宋"/>
          <w:color w:val="FF0000"/>
          <w:sz w:val="28"/>
          <w:szCs w:val="28"/>
        </w:rPr>
        <w:t>及甲方</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有关消防、防汛、环保、安全等法律法规的规定，还应遵守甲方关于场所的安全管理规定和物业管理规范中与本协议约定场地安全相关的内容。</w:t>
      </w:r>
    </w:p>
    <w:p w14:paraId="752871E1">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4)   乙方安装放置的智能柜应固定、平稳、结实，并定期检查其牢固性；乙方及指定的合作伙伴负责智能柜的日常运营，包括维持柜体</w:t>
      </w:r>
      <w:r>
        <w:rPr>
          <w:rFonts w:hint="eastAsia" w:ascii="仿宋" w:hAnsi="仿宋" w:eastAsia="仿宋" w:cs="仿宋"/>
          <w:color w:val="FF0000"/>
          <w:sz w:val="28"/>
          <w:szCs w:val="28"/>
        </w:rPr>
        <w:t>及周边（5米范围内）</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卫生、清理隔夜餐、日常维修等。</w:t>
      </w:r>
    </w:p>
    <w:p w14:paraId="61CBCDAC">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5)   出于场地统一管理的考虑，甲方确认本合同有效内不在放置智能柜的点位100米范围内放置本合同外其他第三方的外卖</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智能</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柜。</w:t>
      </w:r>
    </w:p>
    <w:p w14:paraId="150B3E53">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6)   乙方负责</w:t>
      </w: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智能</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柜的日常客服处理。</w:t>
      </w:r>
    </w:p>
    <w:p w14:paraId="7638B3C1">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7)   乙方授予甲方非独家的、不可分许可的在本协议的合作地域和期限内实施智能柜及服务系统相关专有技术和知识产权，并通过智能柜系统及服务为甲方的楼宇提供智能终端取餐取物。</w:t>
      </w:r>
    </w:p>
    <w:p w14:paraId="484FF2CF">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8)  </w:t>
      </w: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乙方</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需承诺全部设备投放点设备故障处理及卫生清洁工作应在24小时以内，取餐、取物故障处理24小时电话热线在线。</w:t>
      </w:r>
    </w:p>
    <w:p w14:paraId="042DC6D3">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六、 协议的生效、解除和终止</w:t>
      </w:r>
    </w:p>
    <w:p w14:paraId="2A52022F">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本协议自双方签字盖章之日起生效。</w:t>
      </w:r>
    </w:p>
    <w:p w14:paraId="530C95AD">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2)   双方协商一致、解除本协议，均不承担违约责任；本协议解除或终止后，乙方应于15个工作日内搬离智能柜，同时双方应据实结算本协议项下的费用。</w:t>
      </w:r>
    </w:p>
    <w:p w14:paraId="25242513">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3)   本协议履行过程中，若发生以下情况，自书面通知之日起30日内一方有权解除本协议：乙方违反合同内容和甲方管理范围的相关规定，超过三次警告未作整改的，甲方有权解约；因场地内入柜订单规模缩减等情形，乙方有权解约。</w:t>
      </w:r>
    </w:p>
    <w:p w14:paraId="4766031C">
      <w:pPr>
        <w:spacing w:line="360" w:lineRule="auto"/>
        <w:ind w:firstLine="560" w:firstLineChars="200"/>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4)   如甲、乙任何一方单方解除本协议，且无法确定本协议约定的解除情形，则构成违约，违约方应向守约方支付</w:t>
      </w:r>
      <w:r>
        <w:rPr>
          <w:rFonts w:hint="eastAsia" w:ascii="仿宋" w:hAnsi="仿宋" w:eastAsia="仿宋" w:cs="仿宋"/>
          <w:color w:val="FF0000"/>
          <w:sz w:val="28"/>
          <w:szCs w:val="28"/>
        </w:rPr>
        <w:t>一万元</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作为违约金并退还剩余合作期的服务费（如有）。</w:t>
      </w:r>
    </w:p>
    <w:p w14:paraId="36C5C7A2">
      <w:pPr>
        <w:pStyle w:val="7"/>
        <w:spacing w:before="156" w:beforeLines="50" w:beforeAutospacing="0" w:after="0" w:afterAutospacing="0" w:line="460" w:lineRule="exact"/>
        <w:ind w:firstLine="560" w:firstLineChars="20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lang w:eastAsia="zh-CN"/>
        </w:rPr>
        <w:t>七</w:t>
      </w:r>
      <w:r>
        <w:rPr>
          <w:rFonts w:hint="eastAsia" w:ascii="仿宋" w:hAnsi="仿宋" w:eastAsia="仿宋" w:cs="仿宋"/>
          <w:b w:val="0"/>
          <w:bCs/>
          <w:color w:val="000000"/>
          <w:sz w:val="28"/>
          <w:szCs w:val="28"/>
        </w:rPr>
        <w:t>、履约保证金</w:t>
      </w:r>
    </w:p>
    <w:p w14:paraId="189575CB">
      <w:pPr>
        <w:pStyle w:val="7"/>
        <w:spacing w:before="156" w:beforeLines="50" w:beforeAutospacing="0" w:after="0" w:afterAutospacing="0" w:line="460" w:lineRule="exact"/>
        <w:ind w:firstLine="560" w:firstLineChars="200"/>
        <w:rPr>
          <w:rFonts w:hint="eastAsia" w:ascii="仿宋" w:hAnsi="仿宋" w:eastAsia="仿宋" w:cs="仿宋"/>
          <w:color w:val="FF0000"/>
          <w:sz w:val="28"/>
          <w:szCs w:val="28"/>
          <w:lang w:eastAsia="zh-CN"/>
        </w:rPr>
      </w:pPr>
      <w:r>
        <w:rPr>
          <w:rFonts w:hint="eastAsia" w:ascii="仿宋" w:hAnsi="仿宋" w:eastAsia="仿宋" w:cs="仿宋"/>
          <w:color w:val="FF0000"/>
          <w:sz w:val="28"/>
          <w:szCs w:val="28"/>
        </w:rPr>
        <w:t>1、合同签订时，乙方须向甲方缴交</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rPr>
        <w:t>0000</w:t>
      </w:r>
      <w:r>
        <w:rPr>
          <w:rFonts w:hint="eastAsia" w:ascii="仿宋" w:hAnsi="仿宋" w:eastAsia="仿宋" w:cs="仿宋"/>
          <w:color w:val="FF0000"/>
          <w:sz w:val="28"/>
          <w:szCs w:val="28"/>
        </w:rPr>
        <w:t>元（大写：人民币</w:t>
      </w:r>
      <w:r>
        <w:rPr>
          <w:rFonts w:hint="eastAsia" w:ascii="仿宋" w:hAnsi="仿宋" w:eastAsia="仿宋" w:cs="仿宋"/>
          <w:color w:val="FF0000"/>
          <w:sz w:val="28"/>
          <w:szCs w:val="28"/>
          <w:lang w:eastAsia="zh-CN"/>
        </w:rPr>
        <w:t>贰</w:t>
      </w:r>
      <w:r>
        <w:rPr>
          <w:rFonts w:hint="eastAsia" w:ascii="仿宋" w:hAnsi="仿宋" w:eastAsia="仿宋" w:cs="仿宋"/>
          <w:color w:val="FF0000"/>
          <w:sz w:val="28"/>
          <w:szCs w:val="28"/>
        </w:rPr>
        <w:t>万元整）履约保证金作为履约保证。</w:t>
      </w:r>
      <w:r>
        <w:rPr>
          <w:rFonts w:hint="eastAsia" w:ascii="仿宋" w:hAnsi="仿宋" w:eastAsia="仿宋" w:cs="仿宋"/>
          <w:color w:val="FF0000"/>
          <w:sz w:val="28"/>
          <w:szCs w:val="28"/>
          <w:lang w:eastAsia="zh-CN"/>
        </w:rPr>
        <w:t>（作为食品安全保障及华南理工大学五山校区商业网点管理规定等罚款）</w:t>
      </w:r>
    </w:p>
    <w:p w14:paraId="7E481D28">
      <w:pPr>
        <w:pStyle w:val="7"/>
        <w:spacing w:before="156" w:beforeLines="50" w:beforeAutospacing="0" w:after="0" w:afterAutospacing="0"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2、合同期满时，乙方完成相关服务工作，甲方在10日内将履约保证金（如有违约行为则需扣除违约金）一次性无息退还给乙方。</w:t>
      </w:r>
    </w:p>
    <w:p w14:paraId="727F2E3F">
      <w:pPr>
        <w:spacing w:line="360" w:lineRule="auto"/>
        <w:ind w:firstLine="560" w:firstLineChars="200"/>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pPr>
    </w:p>
    <w:p w14:paraId="0D415F3E">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 其他</w:t>
      </w:r>
    </w:p>
    <w:p w14:paraId="2FA8D3BB">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1)   本协议未尽事宜，双方协商签订书面补充协议，补充协议同本协议具有同等法律效力。</w:t>
      </w:r>
    </w:p>
    <w:p w14:paraId="584BF26E">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2)   与本协议有关的通知、文件等均须采用书面形式以电子邮件或以公认的快递服务方式发送至本协议首页载明的地址。通过电子邮件发出，电子邮件到达接受方指定电子邮箱的时间为通知送达时间；若通过特快专递方式邮寄，寄出日期起第四日视为送达之日。</w:t>
      </w:r>
    </w:p>
    <w:p w14:paraId="1C996C3B">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3)   本协议一式四份，双方各执两份，每份具有同等法律效力。附件是本协议不可分割的组成部分，与本协议具有同等法律效力。</w:t>
      </w:r>
    </w:p>
    <w:p w14:paraId="7AEBBD6A">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八、 附件</w:t>
      </w:r>
    </w:p>
    <w:p w14:paraId="59C5AE56">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附件：智能柜摆放具体位置图示 </w:t>
      </w:r>
    </w:p>
    <w:p w14:paraId="4B703A3E">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p>
    <w:p w14:paraId="0ED37DD3">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甲方（盖章）:                                  乙方（盖章）:  </w:t>
      </w:r>
    </w:p>
    <w:p w14:paraId="1D06318C">
      <w:pPr>
        <w:spacing w:line="360" w:lineRule="auto"/>
        <w:ind w:firstLine="560" w:firstLineChars="200"/>
        <w:rPr>
          <w:rFonts w:ascii="仿宋" w:hAnsi="仿宋" w:eastAsia="仿宋" w:cs="仿宋"/>
          <w:color w:val="0D0D0D" w:themeColor="text1" w:themeTint="F2"/>
          <w:sz w:val="28"/>
          <w:szCs w:val="28"/>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联系人（签字）：                              联系人（签字）：</w:t>
      </w:r>
    </w:p>
    <w:p w14:paraId="666AF076">
      <w:pPr>
        <w:spacing w:line="360" w:lineRule="auto"/>
        <w:ind w:firstLine="560" w:firstLineChars="200"/>
        <w:rPr>
          <w:rFonts w:ascii="仿宋" w:hAnsi="仿宋" w:eastAsia="仿宋" w:cs="仿宋"/>
          <w:b/>
          <w:bCs/>
          <w:szCs w:val="21"/>
        </w:rPr>
      </w:pPr>
      <w:r>
        <w:rPr>
          <w:rFonts w:hint="eastAsia" w:ascii="仿宋" w:hAnsi="仿宋" w:eastAsia="仿宋" w:cs="仿宋"/>
          <w:color w:val="0D0D0D" w:themeColor="text1" w:themeTint="F2"/>
          <w:sz w:val="28"/>
          <w:szCs w:val="28"/>
          <w14:textFill>
            <w14:solidFill>
              <w14:schemeClr w14:val="tx1">
                <w14:lumMod w14:val="95000"/>
                <w14:lumOff w14:val="5000"/>
              </w14:schemeClr>
            </w14:solidFill>
          </w14:textFill>
        </w:rPr>
        <w:t>日期：                                            日期：</w:t>
      </w:r>
    </w:p>
    <w:p w14:paraId="303092DD">
      <w:pPr>
        <w:pStyle w:val="2"/>
        <w:jc w:val="center"/>
      </w:pPr>
      <w:r>
        <w:rPr>
          <w:rFonts w:hint="eastAsia"/>
        </w:rPr>
        <w:t>第五部分  五山校区商业网点管理规定</w:t>
      </w:r>
    </w:p>
    <w:p w14:paraId="31CBD068">
      <w:pPr>
        <w:spacing w:line="360" w:lineRule="auto"/>
        <w:ind w:firstLine="560"/>
        <w:jc w:val="center"/>
        <w:rPr>
          <w:rFonts w:ascii="仿宋" w:hAnsi="仿宋" w:eastAsia="仿宋" w:cs="仿宋"/>
          <w:b/>
          <w:color w:val="000000"/>
          <w:sz w:val="28"/>
          <w:szCs w:val="28"/>
        </w:rPr>
      </w:pPr>
      <w:bookmarkStart w:id="1" w:name="_Toc121844266"/>
      <w:r>
        <w:rPr>
          <w:rFonts w:hint="eastAsia" w:ascii="仿宋" w:hAnsi="仿宋" w:eastAsia="仿宋" w:cs="仿宋"/>
          <w:b/>
          <w:color w:val="000000"/>
          <w:sz w:val="28"/>
          <w:szCs w:val="28"/>
        </w:rPr>
        <w:t>华南理工大学五山校区商业网点管理规定</w:t>
      </w:r>
    </w:p>
    <w:p w14:paraId="0D614BD0">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为了保护师生员工的合法权益，促进商业服务有序、健康的发展，特制定商业网点管理规定如下：</w:t>
      </w:r>
    </w:p>
    <w:p w14:paraId="1F672AAD">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一、属于后勤处管理范围内的经营者，必须遵守国家的法律、法规和学校以及后勤处的有关规章制度。</w:t>
      </w:r>
    </w:p>
    <w:p w14:paraId="4DEF7420">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1、严禁雇用未成年人及无“三证”（计生证、务工证或失业证、身份证）的人员从业。</w:t>
      </w:r>
    </w:p>
    <w:p w14:paraId="0F0C5C32">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2、严禁从事带有“黄、赌、毒”性质的活动和搞烧香拜佛等封建迷信活动。</w:t>
      </w:r>
    </w:p>
    <w:p w14:paraId="24EB0DB0">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3、未经管理处同意，严禁在经营区使用电炉、煤炉、液化气炉等。</w:t>
      </w:r>
    </w:p>
    <w:p w14:paraId="5638D40B">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4、严禁聚众闹事、打架斗殴以及谩骂、围攻、恐吓、殴打管理人员和顾客。</w:t>
      </w:r>
    </w:p>
    <w:p w14:paraId="495DD610">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5、严禁违反计划生育。</w:t>
      </w:r>
    </w:p>
    <w:p w14:paraId="3BC63465">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6、严禁经销假冒伪劣、腐烂变质和过期商品。</w:t>
      </w:r>
    </w:p>
    <w:p w14:paraId="0AF45EA7">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7、严禁经销黄色书籍和音像制品。</w:t>
      </w:r>
    </w:p>
    <w:p w14:paraId="7816BA73">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8、不准经营电子游戏机、投影。</w:t>
      </w:r>
    </w:p>
    <w:p w14:paraId="7DBE37F2">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9、不准乱摆、乱放、乱丢及占道经营。</w:t>
      </w:r>
    </w:p>
    <w:p w14:paraId="30EA9F47">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10、不准私自改拆、扩大和转租铺位。</w:t>
      </w:r>
    </w:p>
    <w:p w14:paraId="68A423F5">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11、不准乱动公用设施和消防器材。</w:t>
      </w:r>
    </w:p>
    <w:p w14:paraId="440489B1">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12、不准哄抬物价、短斤缺两、掺杂使假、欺行霸市、强买强卖。</w:t>
      </w:r>
    </w:p>
    <w:p w14:paraId="1E6B1CC0">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13、一律使用政府规定的度量衡器。</w:t>
      </w:r>
    </w:p>
    <w:p w14:paraId="1B0C54C5">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14、不准擅自改变经营项目。</w:t>
      </w:r>
    </w:p>
    <w:p w14:paraId="537DD14B">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15、不准擅自悬挂招牌和张贴广告。</w:t>
      </w:r>
    </w:p>
    <w:p w14:paraId="7577FFF9">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16、不准向管理人员送礼及请吃。</w:t>
      </w:r>
    </w:p>
    <w:p w14:paraId="27963147">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17、不准占用公共场地和空间。</w:t>
      </w:r>
    </w:p>
    <w:p w14:paraId="7B0C343C">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18、不准拖欠租金。</w:t>
      </w:r>
    </w:p>
    <w:p w14:paraId="74052469">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19、不准破坏公共设施和公私财物。</w:t>
      </w:r>
    </w:p>
    <w:p w14:paraId="0E5CF431">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二、凡违反上述规定者，我方将视情节轻重，给予50-5000元的罚款，终止租约收回铺位；触犯刑律的移交司法机关处理。</w:t>
      </w:r>
    </w:p>
    <w:p w14:paraId="563271A8">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三、本规定自公布之日起执行。过去规定凡与本规定相抵触的以本规定为准。</w:t>
      </w:r>
    </w:p>
    <w:p w14:paraId="46A37F9E">
      <w:pPr>
        <w:spacing w:line="360" w:lineRule="auto"/>
        <w:ind w:firstLine="560"/>
        <w:jc w:val="center"/>
        <w:rPr>
          <w:rFonts w:ascii="仿宋" w:hAnsi="仿宋" w:eastAsia="仿宋" w:cs="仿宋"/>
          <w:b/>
          <w:color w:val="000000"/>
          <w:sz w:val="28"/>
          <w:szCs w:val="28"/>
        </w:rPr>
      </w:pPr>
      <w:r>
        <w:rPr>
          <w:rFonts w:hint="eastAsia" w:ascii="仿宋" w:hAnsi="仿宋" w:eastAsia="仿宋" w:cs="仿宋"/>
          <w:b/>
          <w:color w:val="000000"/>
          <w:sz w:val="28"/>
          <w:szCs w:val="28"/>
        </w:rPr>
        <w:t>华南理工大学五山校区商户违规处理暂行条例</w:t>
      </w:r>
    </w:p>
    <w:p w14:paraId="67B2DB29">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为了维护正常的商业秩序，保护消费者的合法权益，更好地为师生员工服务，特制定商业网点商户违规处理暂行条例如下：</w:t>
      </w:r>
    </w:p>
    <w:p w14:paraId="51D407B4">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一、商户涉“黄、赌、毒”、经销黄色书籍和音像制品属严重的违法行为，除交有关部门依法处理外，将终止其合约，收回铺位。</w:t>
      </w:r>
    </w:p>
    <w:p w14:paraId="215767DD">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二、生产销售假冒伪劣、过期变质商品的除没收外，并处货值等值金额以下罚款，情节严重的终止合约，收回铺位；构成犯罪的，交有关部门依法追究刑事责任。</w:t>
      </w:r>
    </w:p>
    <w:p w14:paraId="7B0AFFD0">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三、寻衅滋事、打架斗殴、谩骂、围攻、恐吓、殴打管理人员或顾客者每次罚款200-500元，情节严重的交由司法机关处理，终止其合约，收回铺位。</w:t>
      </w:r>
    </w:p>
    <w:p w14:paraId="6CF53273">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四、未经管理处同意，不得在经营区域内使用电炉、煤炉、液化气炉，不得私拉乱接电线、水管，不得烧香拜佛，否则查到一次罚款200元；如引起火灾，除赔偿经济损失外，还应移交有关部门处理、终止其合约，收回铺位。</w:t>
      </w:r>
    </w:p>
    <w:p w14:paraId="06B21BC4">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五、私自改拆、扩大、转租铺位和擅自改变经营项目，一经发现，应立即改正，并处罚款200元；拒不纠改正者，终止其租约，收回铺位。</w:t>
      </w:r>
    </w:p>
    <w:p w14:paraId="2F21EA77">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六、哄抬物价、欺行霸市、强买强卖、坑蒙招骗罚款200元，一年内被罚三次以上（含三次）终止其租约，收回铺位。</w:t>
      </w:r>
    </w:p>
    <w:p w14:paraId="2E214D53">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七、乱摆、乱放、乱丢、乱挂、乱贴、乱占公共场地和空间的，一经发现，应立即改正，并处罚款50元；一年内被罚五次以上者（含五次）终止其租约，收回铺位。</w:t>
      </w:r>
    </w:p>
    <w:p w14:paraId="2C9E3FEC">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八、雇用未成年人或“三无”人员，一经发现，应立即辞退，并每人罚款50元；拒不辞退者，终止其租约，收回铺位。</w:t>
      </w:r>
    </w:p>
    <w:p w14:paraId="4C33087E">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九、使用不合政府规定的衡量器者，一律没收，并罚款50元。</w:t>
      </w:r>
    </w:p>
    <w:p w14:paraId="77C5853B">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十、短斤缺两者，查证一次罚款50元，一年内被罚五次以上者（含五次）终止其租约，收回铺位。</w:t>
      </w:r>
    </w:p>
    <w:p w14:paraId="07F2999A">
      <w:pPr>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十一、无意损坏了公用设施，应自行恢复或照价赔偿；乱动公用设施和消防器材，罚款50元；故意破坏公用设施消防器材，除照价赔偿外，还应处以相同数额的罚金；情节特别恶劣的终止其租约，收回铺位。</w:t>
      </w:r>
    </w:p>
    <w:p w14:paraId="0A4D887C">
      <w:pPr>
        <w:spacing w:line="360" w:lineRule="auto"/>
        <w:ind w:firstLine="561"/>
        <w:rPr>
          <w:rFonts w:ascii="仿宋" w:hAnsi="仿宋" w:eastAsia="仿宋" w:cs="仿宋"/>
          <w:b/>
          <w:color w:val="000000"/>
          <w:sz w:val="44"/>
          <w:szCs w:val="44"/>
        </w:rPr>
      </w:pPr>
      <w:r>
        <w:rPr>
          <w:rFonts w:hint="eastAsia" w:ascii="仿宋" w:hAnsi="仿宋" w:eastAsia="仿宋" w:cs="仿宋"/>
          <w:color w:val="000000"/>
          <w:sz w:val="28"/>
          <w:szCs w:val="28"/>
        </w:rPr>
        <w:t>十二、拖欠租金每天加收3%滞纳金；超过三个月，终止其合约，收回铺位。凡是因商户违规被我方收回铺位的，其保证金一律不予退还。</w:t>
      </w:r>
    </w:p>
    <w:p w14:paraId="186DD0F6">
      <w:pPr>
        <w:spacing w:line="360" w:lineRule="auto"/>
        <w:rPr>
          <w:rFonts w:ascii="仿宋" w:hAnsi="仿宋" w:eastAsia="仿宋" w:cs="仿宋"/>
          <w:b/>
          <w:color w:val="000000"/>
          <w:szCs w:val="21"/>
        </w:rPr>
      </w:pPr>
    </w:p>
    <w:p w14:paraId="7F6357C9">
      <w:pPr>
        <w:pStyle w:val="2"/>
        <w:jc w:val="center"/>
      </w:pPr>
      <w:r>
        <w:rPr>
          <w:rFonts w:hint="eastAsia"/>
        </w:rPr>
        <w:t>第六部分 投标文件制作要求</w:t>
      </w:r>
    </w:p>
    <w:p w14:paraId="14936214">
      <w:pPr>
        <w:spacing w:line="360" w:lineRule="auto"/>
        <w:ind w:left="-2" w:leftChars="-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一、所有投标文件可用A4纸及黑色墨水或彩色墨水打印（如有图片文件需用彩打）。</w:t>
      </w:r>
    </w:p>
    <w:p w14:paraId="048AA7EC">
      <w:pPr>
        <w:tabs>
          <w:tab w:val="left" w:pos="1262"/>
        </w:tabs>
        <w:spacing w:line="360" w:lineRule="auto"/>
        <w:ind w:right="25" w:rightChars="12"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投标文件一式六份：投标文件一份正本，五份副本，如六本有不一致的地方，以投标文件正本为准。文件须装订成册后密封包装，在封袋的封口处加盖单位公章，并在每一包装的封面上写明：投标人名称、地址、联系人和联系电话。</w:t>
      </w:r>
    </w:p>
    <w:p w14:paraId="59EF5709">
      <w:pPr>
        <w:spacing w:line="360" w:lineRule="auto"/>
        <w:ind w:right="25" w:rightChars="12" w:firstLine="560" w:firstLineChars="200"/>
        <w:rPr>
          <w:rFonts w:ascii="仿宋" w:hAnsi="仿宋" w:eastAsia="仿宋" w:cs="仿宋"/>
          <w:b/>
          <w:color w:val="000000"/>
          <w:sz w:val="28"/>
          <w:szCs w:val="28"/>
          <w:u w:val="single"/>
        </w:rPr>
      </w:pPr>
      <w:r>
        <w:rPr>
          <w:rFonts w:hint="eastAsia" w:ascii="仿宋" w:hAnsi="仿宋" w:eastAsia="仿宋" w:cs="仿宋"/>
          <w:color w:val="000000"/>
          <w:sz w:val="28"/>
          <w:szCs w:val="28"/>
        </w:rPr>
        <w:t>三、有效投标文件需包含以下几点：</w:t>
      </w:r>
      <w:r>
        <w:rPr>
          <w:rFonts w:hint="eastAsia" w:ascii="仿宋" w:hAnsi="仿宋" w:eastAsia="仿宋" w:cs="仿宋"/>
          <w:b/>
          <w:color w:val="000000"/>
          <w:sz w:val="28"/>
          <w:szCs w:val="28"/>
          <w:u w:val="single"/>
        </w:rPr>
        <w:t>（请按以下投标文件自查表顺序进行排版并作为目录制作投标文件）</w:t>
      </w:r>
    </w:p>
    <w:p w14:paraId="0C5F24FC">
      <w:pPr>
        <w:spacing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投标文件自查表</w:t>
      </w:r>
    </w:p>
    <w:tbl>
      <w:tblPr>
        <w:tblStyle w:val="8"/>
        <w:tblW w:w="11029" w:type="dxa"/>
        <w:tblInd w:w="-1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399"/>
        <w:gridCol w:w="1418"/>
        <w:gridCol w:w="1417"/>
      </w:tblGrid>
      <w:tr w14:paraId="1E8D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blHeader/>
        </w:trPr>
        <w:tc>
          <w:tcPr>
            <w:tcW w:w="795" w:type="dxa"/>
            <w:vAlign w:val="center"/>
          </w:tcPr>
          <w:p w14:paraId="77D90FB2">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序号</w:t>
            </w:r>
          </w:p>
        </w:tc>
        <w:tc>
          <w:tcPr>
            <w:tcW w:w="7399" w:type="dxa"/>
            <w:vAlign w:val="center"/>
          </w:tcPr>
          <w:p w14:paraId="0470269D">
            <w:pPr>
              <w:spacing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自</w:t>
            </w:r>
            <w:r>
              <w:rPr>
                <w:rFonts w:ascii="仿宋" w:hAnsi="仿宋" w:eastAsia="仿宋"/>
                <w:b/>
                <w:bCs/>
                <w:color w:val="000000"/>
                <w:sz w:val="28"/>
                <w:szCs w:val="28"/>
              </w:rPr>
              <w:t xml:space="preserve"> </w:t>
            </w:r>
            <w:r>
              <w:rPr>
                <w:rFonts w:hint="eastAsia" w:ascii="仿宋" w:hAnsi="仿宋" w:eastAsia="仿宋"/>
                <w:b/>
                <w:bCs/>
                <w:color w:val="000000"/>
                <w:sz w:val="28"/>
                <w:szCs w:val="28"/>
              </w:rPr>
              <w:t>查</w:t>
            </w:r>
            <w:r>
              <w:rPr>
                <w:rFonts w:ascii="仿宋" w:hAnsi="仿宋" w:eastAsia="仿宋"/>
                <w:b/>
                <w:bCs/>
                <w:color w:val="000000"/>
                <w:sz w:val="28"/>
                <w:szCs w:val="28"/>
              </w:rPr>
              <w:t xml:space="preserve"> </w:t>
            </w:r>
            <w:r>
              <w:rPr>
                <w:rFonts w:hint="eastAsia" w:ascii="仿宋" w:hAnsi="仿宋" w:eastAsia="仿宋"/>
                <w:b/>
                <w:bCs/>
                <w:color w:val="000000"/>
                <w:sz w:val="28"/>
                <w:szCs w:val="28"/>
              </w:rPr>
              <w:t>内</w:t>
            </w:r>
            <w:r>
              <w:rPr>
                <w:rFonts w:ascii="仿宋" w:hAnsi="仿宋" w:eastAsia="仿宋"/>
                <w:b/>
                <w:bCs/>
                <w:color w:val="000000"/>
                <w:sz w:val="28"/>
                <w:szCs w:val="28"/>
              </w:rPr>
              <w:t xml:space="preserve"> </w:t>
            </w:r>
            <w:r>
              <w:rPr>
                <w:rFonts w:hint="eastAsia" w:ascii="仿宋" w:hAnsi="仿宋" w:eastAsia="仿宋"/>
                <w:b/>
                <w:bCs/>
                <w:color w:val="000000"/>
                <w:sz w:val="28"/>
                <w:szCs w:val="28"/>
              </w:rPr>
              <w:t>容</w:t>
            </w:r>
            <w:r>
              <w:rPr>
                <w:rFonts w:ascii="仿宋" w:hAnsi="仿宋" w:eastAsia="仿宋"/>
                <w:b/>
                <w:bCs/>
                <w:color w:val="000000"/>
                <w:sz w:val="28"/>
                <w:szCs w:val="28"/>
              </w:rPr>
              <w:t xml:space="preserve"> </w:t>
            </w:r>
          </w:p>
        </w:tc>
        <w:tc>
          <w:tcPr>
            <w:tcW w:w="1418" w:type="dxa"/>
            <w:vAlign w:val="center"/>
          </w:tcPr>
          <w:p w14:paraId="2ABD7C4D">
            <w:pPr>
              <w:spacing w:line="360" w:lineRule="auto"/>
              <w:jc w:val="center"/>
            </w:pPr>
            <w:r>
              <w:rPr>
                <w:rFonts w:hint="eastAsia" w:ascii="仿宋" w:hAnsi="仿宋" w:eastAsia="仿宋"/>
                <w:b/>
                <w:bCs/>
                <w:color w:val="000000"/>
                <w:sz w:val="28"/>
                <w:szCs w:val="28"/>
              </w:rPr>
              <w:t>自查结果</w:t>
            </w:r>
            <w:r>
              <w:rPr>
                <w:rFonts w:hint="eastAsia" w:ascii="仿宋" w:hAnsi="仿宋" w:eastAsia="仿宋"/>
                <w:b/>
                <w:bCs/>
                <w:color w:val="000000"/>
                <w:sz w:val="18"/>
                <w:szCs w:val="18"/>
              </w:rPr>
              <w:t>（确认则打√）</w:t>
            </w:r>
          </w:p>
        </w:tc>
        <w:tc>
          <w:tcPr>
            <w:tcW w:w="1417" w:type="dxa"/>
            <w:vAlign w:val="center"/>
          </w:tcPr>
          <w:p w14:paraId="31BE25C8">
            <w:pPr>
              <w:spacing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证明文件</w:t>
            </w:r>
          </w:p>
        </w:tc>
      </w:tr>
      <w:tr w14:paraId="7AED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95" w:type="dxa"/>
            <w:vAlign w:val="center"/>
          </w:tcPr>
          <w:p w14:paraId="7B020A7A">
            <w:pPr>
              <w:spacing w:line="360" w:lineRule="auto"/>
              <w:jc w:val="center"/>
              <w:rPr>
                <w:rFonts w:ascii="仿宋" w:hAnsi="仿宋" w:eastAsia="仿宋"/>
                <w:bCs/>
                <w:color w:val="000000"/>
                <w:sz w:val="28"/>
                <w:szCs w:val="28"/>
              </w:rPr>
            </w:pPr>
            <w:r>
              <w:rPr>
                <w:rFonts w:ascii="仿宋" w:hAnsi="仿宋" w:eastAsia="仿宋"/>
                <w:bCs/>
                <w:color w:val="000000"/>
                <w:sz w:val="28"/>
                <w:szCs w:val="28"/>
              </w:rPr>
              <w:t>1</w:t>
            </w:r>
          </w:p>
        </w:tc>
        <w:tc>
          <w:tcPr>
            <w:tcW w:w="7399" w:type="dxa"/>
            <w:vAlign w:val="center"/>
          </w:tcPr>
          <w:p w14:paraId="3F051AD1">
            <w:pPr>
              <w:spacing w:line="360" w:lineRule="auto"/>
              <w:rPr>
                <w:rFonts w:ascii="仿宋" w:hAnsi="仿宋" w:eastAsia="仿宋"/>
                <w:color w:val="000000"/>
                <w:sz w:val="28"/>
                <w:szCs w:val="28"/>
              </w:rPr>
            </w:pPr>
            <w:r>
              <w:rPr>
                <w:rFonts w:hint="eastAsia" w:ascii="仿宋" w:hAnsi="仿宋" w:eastAsia="仿宋"/>
                <w:color w:val="000000"/>
                <w:sz w:val="28"/>
                <w:szCs w:val="28"/>
              </w:rPr>
              <w:t>投标人营业执照复印件、法定代表人身份证复印件、委托人身份证复印件及公司委托书。</w:t>
            </w:r>
          </w:p>
        </w:tc>
        <w:tc>
          <w:tcPr>
            <w:tcW w:w="1418" w:type="dxa"/>
            <w:vAlign w:val="center"/>
          </w:tcPr>
          <w:p w14:paraId="0AD58486">
            <w:pPr>
              <w:spacing w:line="360" w:lineRule="auto"/>
              <w:jc w:val="center"/>
              <w:rPr>
                <w:rFonts w:ascii="仿宋" w:hAnsi="仿宋" w:eastAsia="仿宋"/>
                <w:color w:val="000000"/>
                <w:sz w:val="28"/>
                <w:szCs w:val="28"/>
              </w:rPr>
            </w:pPr>
          </w:p>
        </w:tc>
        <w:tc>
          <w:tcPr>
            <w:tcW w:w="1417" w:type="dxa"/>
            <w:vAlign w:val="center"/>
          </w:tcPr>
          <w:p w14:paraId="7DE895CE">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2F4F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95" w:type="dxa"/>
            <w:vAlign w:val="center"/>
          </w:tcPr>
          <w:p w14:paraId="74B6E809">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2</w:t>
            </w:r>
          </w:p>
        </w:tc>
        <w:tc>
          <w:tcPr>
            <w:tcW w:w="7399" w:type="dxa"/>
            <w:vAlign w:val="center"/>
          </w:tcPr>
          <w:p w14:paraId="164CCBBE">
            <w:pPr>
              <w:spacing w:line="360" w:lineRule="auto"/>
              <w:rPr>
                <w:rFonts w:ascii="仿宋" w:hAnsi="仿宋" w:eastAsia="仿宋"/>
                <w:color w:val="000000"/>
                <w:sz w:val="28"/>
                <w:szCs w:val="28"/>
              </w:rPr>
            </w:pPr>
            <w:r>
              <w:rPr>
                <w:rFonts w:hint="eastAsia" w:ascii="仿宋" w:hAnsi="仿宋" w:eastAsia="仿宋" w:cs="仿宋"/>
                <w:color w:val="000000"/>
                <w:sz w:val="28"/>
                <w:szCs w:val="28"/>
              </w:rPr>
              <w:t>从20</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年1月1日至今未被列入政府采购严重违法失信行为记录名单，未被“信用中国”网站列入失信被执行人、重大税收违法案件当事人。</w:t>
            </w:r>
          </w:p>
        </w:tc>
        <w:tc>
          <w:tcPr>
            <w:tcW w:w="1418" w:type="dxa"/>
            <w:vAlign w:val="center"/>
          </w:tcPr>
          <w:p w14:paraId="72731B1B">
            <w:pPr>
              <w:spacing w:line="360" w:lineRule="auto"/>
              <w:jc w:val="center"/>
              <w:rPr>
                <w:rFonts w:ascii="仿宋" w:hAnsi="仿宋" w:eastAsia="仿宋"/>
                <w:color w:val="000000"/>
                <w:sz w:val="28"/>
                <w:szCs w:val="28"/>
              </w:rPr>
            </w:pPr>
          </w:p>
        </w:tc>
        <w:tc>
          <w:tcPr>
            <w:tcW w:w="1417" w:type="dxa"/>
            <w:vAlign w:val="center"/>
          </w:tcPr>
          <w:p w14:paraId="64230839">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23D9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95" w:type="dxa"/>
            <w:vAlign w:val="center"/>
          </w:tcPr>
          <w:p w14:paraId="11013A12">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3</w:t>
            </w:r>
          </w:p>
        </w:tc>
        <w:tc>
          <w:tcPr>
            <w:tcW w:w="7399" w:type="dxa"/>
            <w:vAlign w:val="center"/>
          </w:tcPr>
          <w:p w14:paraId="0E268617">
            <w:pPr>
              <w:spacing w:line="360" w:lineRule="auto"/>
              <w:rPr>
                <w:rFonts w:ascii="仿宋" w:hAnsi="仿宋" w:eastAsia="仿宋"/>
                <w:color w:val="000000"/>
                <w:sz w:val="28"/>
                <w:szCs w:val="28"/>
              </w:rPr>
            </w:pPr>
            <w:r>
              <w:rPr>
                <w:rFonts w:hint="eastAsia" w:ascii="仿宋" w:hAnsi="仿宋" w:eastAsia="仿宋"/>
                <w:color w:val="000000"/>
                <w:sz w:val="28"/>
                <w:szCs w:val="28"/>
              </w:rPr>
              <w:t>本项目不接受联合体投标的书面声明。</w:t>
            </w:r>
          </w:p>
        </w:tc>
        <w:tc>
          <w:tcPr>
            <w:tcW w:w="1418" w:type="dxa"/>
            <w:vAlign w:val="center"/>
          </w:tcPr>
          <w:p w14:paraId="5E7F5DC8">
            <w:pPr>
              <w:spacing w:line="360" w:lineRule="auto"/>
              <w:jc w:val="center"/>
              <w:rPr>
                <w:rFonts w:ascii="仿宋" w:hAnsi="仿宋" w:eastAsia="仿宋"/>
                <w:color w:val="000000"/>
                <w:sz w:val="28"/>
                <w:szCs w:val="28"/>
              </w:rPr>
            </w:pPr>
          </w:p>
        </w:tc>
        <w:tc>
          <w:tcPr>
            <w:tcW w:w="1417" w:type="dxa"/>
            <w:vAlign w:val="center"/>
          </w:tcPr>
          <w:p w14:paraId="466952CF">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   页</w:t>
            </w:r>
          </w:p>
        </w:tc>
      </w:tr>
      <w:tr w14:paraId="4D7F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95" w:type="dxa"/>
            <w:vAlign w:val="center"/>
          </w:tcPr>
          <w:p w14:paraId="56884683">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4</w:t>
            </w:r>
          </w:p>
        </w:tc>
        <w:tc>
          <w:tcPr>
            <w:tcW w:w="7399" w:type="dxa"/>
            <w:vAlign w:val="center"/>
          </w:tcPr>
          <w:p w14:paraId="6C6595B8">
            <w:pPr>
              <w:spacing w:line="360" w:lineRule="auto"/>
              <w:rPr>
                <w:rFonts w:ascii="仿宋" w:hAnsi="仿宋" w:eastAsia="仿宋"/>
                <w:color w:val="000000"/>
                <w:sz w:val="28"/>
                <w:szCs w:val="28"/>
              </w:rPr>
            </w:pPr>
            <w:r>
              <w:rPr>
                <w:rFonts w:hint="eastAsia" w:ascii="仿宋" w:hAnsi="仿宋" w:eastAsia="仿宋"/>
                <w:color w:val="000000"/>
                <w:sz w:val="28"/>
                <w:szCs w:val="28"/>
              </w:rPr>
              <w:t>提供近1年公司年度会计报告。</w:t>
            </w:r>
          </w:p>
        </w:tc>
        <w:tc>
          <w:tcPr>
            <w:tcW w:w="1418" w:type="dxa"/>
            <w:vAlign w:val="center"/>
          </w:tcPr>
          <w:p w14:paraId="03F90F95">
            <w:pPr>
              <w:spacing w:line="360" w:lineRule="auto"/>
              <w:jc w:val="center"/>
              <w:rPr>
                <w:rFonts w:ascii="仿宋" w:hAnsi="仿宋" w:eastAsia="仿宋"/>
                <w:color w:val="000000"/>
                <w:sz w:val="28"/>
                <w:szCs w:val="28"/>
              </w:rPr>
            </w:pPr>
          </w:p>
        </w:tc>
        <w:tc>
          <w:tcPr>
            <w:tcW w:w="1417" w:type="dxa"/>
            <w:vAlign w:val="center"/>
          </w:tcPr>
          <w:p w14:paraId="0EB5936E">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   页</w:t>
            </w:r>
          </w:p>
        </w:tc>
      </w:tr>
      <w:tr w14:paraId="6409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Align w:val="center"/>
          </w:tcPr>
          <w:p w14:paraId="56495C1B">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7399" w:type="dxa"/>
            <w:vAlign w:val="center"/>
          </w:tcPr>
          <w:p w14:paraId="6FB799FA">
            <w:pPr>
              <w:spacing w:line="360" w:lineRule="auto"/>
              <w:rPr>
                <w:rFonts w:ascii="仿宋" w:hAnsi="仿宋" w:eastAsia="仿宋"/>
                <w:color w:val="000000"/>
                <w:sz w:val="28"/>
                <w:szCs w:val="28"/>
              </w:rPr>
            </w:pPr>
            <w:r>
              <w:rPr>
                <w:rFonts w:hint="eastAsia" w:ascii="仿宋" w:hAnsi="仿宋" w:eastAsia="仿宋"/>
                <w:color w:val="000000"/>
                <w:sz w:val="28"/>
                <w:szCs w:val="28"/>
              </w:rPr>
              <w:t>投标人近期经营管理介绍，提供部分证明文件，</w:t>
            </w:r>
            <w:r>
              <w:rPr>
                <w:rFonts w:hint="eastAsia" w:ascii="仿宋" w:hAnsi="仿宋" w:eastAsia="仿宋" w:cs="仿宋"/>
                <w:color w:val="000000"/>
                <w:sz w:val="28"/>
                <w:szCs w:val="28"/>
              </w:rPr>
              <w:t>以经营智能储存场地经营文件为依据</w:t>
            </w:r>
            <w:r>
              <w:rPr>
                <w:rFonts w:hint="eastAsia" w:ascii="仿宋" w:hAnsi="仿宋" w:eastAsia="仿宋"/>
                <w:color w:val="000000"/>
                <w:sz w:val="28"/>
                <w:szCs w:val="28"/>
              </w:rPr>
              <w:t>。</w:t>
            </w:r>
          </w:p>
        </w:tc>
        <w:tc>
          <w:tcPr>
            <w:tcW w:w="1418" w:type="dxa"/>
            <w:vAlign w:val="center"/>
          </w:tcPr>
          <w:p w14:paraId="5286D15A">
            <w:pPr>
              <w:spacing w:line="360" w:lineRule="auto"/>
              <w:jc w:val="center"/>
              <w:rPr>
                <w:rFonts w:ascii="仿宋" w:hAnsi="仿宋" w:eastAsia="仿宋"/>
                <w:color w:val="000000"/>
                <w:sz w:val="28"/>
                <w:szCs w:val="28"/>
              </w:rPr>
            </w:pPr>
          </w:p>
        </w:tc>
        <w:tc>
          <w:tcPr>
            <w:tcW w:w="1417" w:type="dxa"/>
            <w:vAlign w:val="center"/>
          </w:tcPr>
          <w:p w14:paraId="47FF094D">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   页</w:t>
            </w:r>
          </w:p>
        </w:tc>
      </w:tr>
      <w:tr w14:paraId="5EAD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Align w:val="center"/>
          </w:tcPr>
          <w:p w14:paraId="2D641265">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6</w:t>
            </w:r>
          </w:p>
        </w:tc>
        <w:tc>
          <w:tcPr>
            <w:tcW w:w="7399" w:type="dxa"/>
            <w:vAlign w:val="center"/>
          </w:tcPr>
          <w:p w14:paraId="433D0799">
            <w:pPr>
              <w:spacing w:line="360" w:lineRule="auto"/>
              <w:rPr>
                <w:rFonts w:ascii="仿宋" w:hAnsi="仿宋" w:eastAsia="仿宋"/>
                <w:color w:val="000000"/>
                <w:sz w:val="28"/>
                <w:szCs w:val="28"/>
              </w:rPr>
            </w:pPr>
            <w:r>
              <w:rPr>
                <w:rFonts w:hint="eastAsia" w:ascii="仿宋" w:hAnsi="仿宋" w:eastAsia="仿宋"/>
                <w:color w:val="000000"/>
                <w:sz w:val="28"/>
                <w:szCs w:val="28"/>
              </w:rPr>
              <w:t>设备维修及清洁时间承诺函。</w:t>
            </w:r>
          </w:p>
        </w:tc>
        <w:tc>
          <w:tcPr>
            <w:tcW w:w="1418" w:type="dxa"/>
            <w:vAlign w:val="center"/>
          </w:tcPr>
          <w:p w14:paraId="12F0C2CA">
            <w:pPr>
              <w:spacing w:line="360" w:lineRule="auto"/>
              <w:jc w:val="center"/>
              <w:rPr>
                <w:rFonts w:ascii="仿宋" w:hAnsi="仿宋" w:eastAsia="仿宋"/>
                <w:color w:val="000000"/>
                <w:sz w:val="28"/>
                <w:szCs w:val="28"/>
              </w:rPr>
            </w:pPr>
          </w:p>
        </w:tc>
        <w:tc>
          <w:tcPr>
            <w:tcW w:w="1417" w:type="dxa"/>
            <w:vAlign w:val="center"/>
          </w:tcPr>
          <w:p w14:paraId="09F26C5A">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4CD9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Align w:val="center"/>
          </w:tcPr>
          <w:p w14:paraId="5C01FA8C">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7</w:t>
            </w:r>
          </w:p>
        </w:tc>
        <w:tc>
          <w:tcPr>
            <w:tcW w:w="7399" w:type="dxa"/>
            <w:vAlign w:val="center"/>
          </w:tcPr>
          <w:p w14:paraId="6923A198">
            <w:pPr>
              <w:spacing w:line="360" w:lineRule="auto"/>
              <w:rPr>
                <w:rFonts w:ascii="仿宋" w:hAnsi="仿宋" w:eastAsia="仿宋"/>
                <w:color w:val="000000"/>
                <w:sz w:val="28"/>
                <w:szCs w:val="28"/>
              </w:rPr>
            </w:pPr>
            <w:r>
              <w:rPr>
                <w:rFonts w:hint="eastAsia" w:ascii="仿宋" w:hAnsi="仿宋" w:eastAsia="仿宋"/>
                <w:color w:val="000000"/>
                <w:sz w:val="28"/>
                <w:szCs w:val="28"/>
              </w:rPr>
              <w:t>本经营项目投资金额及配置情况。</w:t>
            </w:r>
          </w:p>
        </w:tc>
        <w:tc>
          <w:tcPr>
            <w:tcW w:w="1418" w:type="dxa"/>
            <w:vAlign w:val="center"/>
          </w:tcPr>
          <w:p w14:paraId="15595B4E">
            <w:pPr>
              <w:spacing w:line="360" w:lineRule="auto"/>
              <w:jc w:val="center"/>
              <w:rPr>
                <w:rFonts w:ascii="仿宋" w:hAnsi="仿宋" w:eastAsia="仿宋"/>
                <w:color w:val="000000"/>
                <w:sz w:val="28"/>
                <w:szCs w:val="28"/>
              </w:rPr>
            </w:pPr>
          </w:p>
        </w:tc>
        <w:tc>
          <w:tcPr>
            <w:tcW w:w="1417" w:type="dxa"/>
            <w:vAlign w:val="center"/>
          </w:tcPr>
          <w:p w14:paraId="0FF0BCBF">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2122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5" w:type="dxa"/>
            <w:vAlign w:val="center"/>
          </w:tcPr>
          <w:p w14:paraId="549BF678">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8</w:t>
            </w:r>
          </w:p>
        </w:tc>
        <w:tc>
          <w:tcPr>
            <w:tcW w:w="7399" w:type="dxa"/>
            <w:vAlign w:val="center"/>
          </w:tcPr>
          <w:p w14:paraId="2D831FFE">
            <w:pPr>
              <w:spacing w:line="360" w:lineRule="auto"/>
              <w:rPr>
                <w:rFonts w:ascii="仿宋" w:hAnsi="仿宋" w:eastAsia="仿宋"/>
                <w:color w:val="000000"/>
                <w:sz w:val="28"/>
                <w:szCs w:val="28"/>
              </w:rPr>
            </w:pPr>
            <w:r>
              <w:rPr>
                <w:rFonts w:hint="eastAsia" w:ascii="仿宋" w:hAnsi="仿宋" w:eastAsia="仿宋"/>
                <w:color w:val="000000"/>
                <w:sz w:val="28"/>
                <w:szCs w:val="28"/>
              </w:rPr>
              <w:t>针对学校师生存储快餐、药品等物品免费的承诺书</w:t>
            </w:r>
          </w:p>
        </w:tc>
        <w:tc>
          <w:tcPr>
            <w:tcW w:w="1418" w:type="dxa"/>
            <w:vAlign w:val="center"/>
          </w:tcPr>
          <w:p w14:paraId="088AB58A">
            <w:pPr>
              <w:spacing w:line="360" w:lineRule="auto"/>
              <w:jc w:val="center"/>
              <w:rPr>
                <w:rFonts w:ascii="仿宋" w:hAnsi="仿宋" w:eastAsia="仿宋"/>
                <w:color w:val="000000"/>
                <w:sz w:val="28"/>
                <w:szCs w:val="28"/>
              </w:rPr>
            </w:pPr>
          </w:p>
        </w:tc>
        <w:tc>
          <w:tcPr>
            <w:tcW w:w="1417" w:type="dxa"/>
            <w:vAlign w:val="center"/>
          </w:tcPr>
          <w:p w14:paraId="65293A22">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1236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95" w:type="dxa"/>
            <w:vAlign w:val="center"/>
          </w:tcPr>
          <w:p w14:paraId="15DC8D9A">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9</w:t>
            </w:r>
          </w:p>
        </w:tc>
        <w:tc>
          <w:tcPr>
            <w:tcW w:w="7399" w:type="dxa"/>
            <w:vAlign w:val="center"/>
          </w:tcPr>
          <w:p w14:paraId="5747E1D6">
            <w:pPr>
              <w:spacing w:line="360" w:lineRule="auto"/>
              <w:rPr>
                <w:rFonts w:ascii="仿宋" w:hAnsi="仿宋" w:eastAsia="仿宋"/>
                <w:color w:val="000000"/>
                <w:sz w:val="28"/>
                <w:szCs w:val="28"/>
              </w:rPr>
            </w:pPr>
            <w:r>
              <w:rPr>
                <w:rFonts w:hint="eastAsia" w:ascii="仿宋" w:hAnsi="仿宋" w:eastAsia="仿宋"/>
                <w:color w:val="000000"/>
                <w:sz w:val="28"/>
                <w:szCs w:val="28"/>
              </w:rPr>
              <w:t>管理方案整体规划合理性，针对各点自行现场勘查，规划智能存储规范管理思路和具体可行性方案，此方案需同时积极响应校园管理应急需要等。</w:t>
            </w:r>
          </w:p>
        </w:tc>
        <w:tc>
          <w:tcPr>
            <w:tcW w:w="1418" w:type="dxa"/>
            <w:vAlign w:val="center"/>
          </w:tcPr>
          <w:p w14:paraId="387E4853">
            <w:pPr>
              <w:spacing w:line="360" w:lineRule="auto"/>
              <w:jc w:val="center"/>
              <w:rPr>
                <w:rFonts w:ascii="仿宋" w:hAnsi="仿宋" w:eastAsia="仿宋"/>
                <w:color w:val="000000"/>
                <w:sz w:val="28"/>
                <w:szCs w:val="28"/>
              </w:rPr>
            </w:pPr>
          </w:p>
        </w:tc>
        <w:tc>
          <w:tcPr>
            <w:tcW w:w="1417" w:type="dxa"/>
            <w:vAlign w:val="center"/>
          </w:tcPr>
          <w:p w14:paraId="3762209B">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3187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5" w:type="dxa"/>
            <w:vAlign w:val="center"/>
          </w:tcPr>
          <w:p w14:paraId="7ADE39FE">
            <w:pPr>
              <w:spacing w:line="360" w:lineRule="auto"/>
              <w:jc w:val="center"/>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0</w:t>
            </w:r>
          </w:p>
        </w:tc>
        <w:tc>
          <w:tcPr>
            <w:tcW w:w="7399" w:type="dxa"/>
            <w:vAlign w:val="center"/>
          </w:tcPr>
          <w:p w14:paraId="06B716B1">
            <w:pPr>
              <w:spacing w:line="360" w:lineRule="auto"/>
              <w:rPr>
                <w:rFonts w:ascii="仿宋" w:hAnsi="仿宋" w:eastAsia="仿宋"/>
                <w:color w:val="000000"/>
                <w:sz w:val="28"/>
                <w:szCs w:val="28"/>
              </w:rPr>
            </w:pPr>
            <w:r>
              <w:rPr>
                <w:rFonts w:hint="eastAsia" w:ascii="仿宋" w:hAnsi="仿宋" w:eastAsia="仿宋"/>
                <w:color w:val="000000"/>
                <w:sz w:val="28"/>
                <w:szCs w:val="28"/>
              </w:rPr>
              <w:t>日常管理方案，包括本项目设备安装方案、货物储藏方案、防食物中毒事件发生方案、机器设备日常中的维护方案、对消费者投诉处理方案、对应急事件的处理方案、机器电子显示屏广告投放管理方案。</w:t>
            </w:r>
          </w:p>
        </w:tc>
        <w:tc>
          <w:tcPr>
            <w:tcW w:w="1418" w:type="dxa"/>
            <w:vAlign w:val="center"/>
          </w:tcPr>
          <w:p w14:paraId="0E2CD50D">
            <w:pPr>
              <w:spacing w:line="360" w:lineRule="auto"/>
              <w:jc w:val="center"/>
              <w:rPr>
                <w:rFonts w:ascii="仿宋" w:hAnsi="仿宋" w:eastAsia="仿宋"/>
                <w:color w:val="000000"/>
                <w:sz w:val="28"/>
                <w:szCs w:val="28"/>
              </w:rPr>
            </w:pPr>
          </w:p>
        </w:tc>
        <w:tc>
          <w:tcPr>
            <w:tcW w:w="1417" w:type="dxa"/>
            <w:vAlign w:val="center"/>
          </w:tcPr>
          <w:p w14:paraId="21299DE6">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14AC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5" w:type="dxa"/>
            <w:vAlign w:val="center"/>
          </w:tcPr>
          <w:p w14:paraId="3C4304DD">
            <w:pPr>
              <w:spacing w:line="360" w:lineRule="auto"/>
              <w:jc w:val="center"/>
              <w:rPr>
                <w:rFonts w:ascii="仿宋" w:hAnsi="仿宋" w:eastAsia="仿宋"/>
                <w:bCs/>
                <w:color w:val="000000"/>
                <w:sz w:val="28"/>
                <w:szCs w:val="28"/>
              </w:rPr>
            </w:pPr>
            <w:bookmarkStart w:id="2" w:name="OLE_LINK2" w:colFirst="2" w:colLast="2"/>
            <w:r>
              <w:rPr>
                <w:rFonts w:ascii="仿宋" w:hAnsi="仿宋" w:eastAsia="仿宋"/>
                <w:bCs/>
                <w:color w:val="000000"/>
                <w:sz w:val="28"/>
                <w:szCs w:val="28"/>
              </w:rPr>
              <w:t>1</w:t>
            </w:r>
            <w:r>
              <w:rPr>
                <w:rFonts w:hint="eastAsia" w:ascii="仿宋" w:hAnsi="仿宋" w:eastAsia="仿宋"/>
                <w:bCs/>
                <w:color w:val="000000"/>
                <w:sz w:val="28"/>
                <w:szCs w:val="28"/>
              </w:rPr>
              <w:t>1</w:t>
            </w:r>
          </w:p>
        </w:tc>
        <w:tc>
          <w:tcPr>
            <w:tcW w:w="7399" w:type="dxa"/>
            <w:vAlign w:val="center"/>
          </w:tcPr>
          <w:p w14:paraId="63D474C9">
            <w:pPr>
              <w:spacing w:line="360" w:lineRule="auto"/>
              <w:rPr>
                <w:rFonts w:ascii="仿宋" w:hAnsi="仿宋" w:eastAsia="仿宋"/>
                <w:color w:val="000000"/>
                <w:sz w:val="28"/>
                <w:szCs w:val="28"/>
              </w:rPr>
            </w:pPr>
            <w:r>
              <w:rPr>
                <w:rFonts w:hint="eastAsia" w:ascii="仿宋" w:hAnsi="仿宋" w:eastAsia="仿宋"/>
                <w:color w:val="000000"/>
                <w:sz w:val="28"/>
                <w:szCs w:val="28"/>
              </w:rPr>
              <w:t>现有网点的经营状况介绍，包括智能存储规划管理成效；存储智能交付方式；</w:t>
            </w:r>
            <w:r>
              <w:rPr>
                <w:rFonts w:hint="eastAsia" w:ascii="仿宋" w:hAnsi="仿宋" w:eastAsia="仿宋"/>
                <w:color w:val="000000"/>
                <w:sz w:val="28"/>
                <w:szCs w:val="28"/>
                <w:lang w:val="en-US" w:eastAsia="zh-CN"/>
              </w:rPr>
              <w:t>设备</w:t>
            </w:r>
            <w:r>
              <w:rPr>
                <w:rFonts w:hint="eastAsia" w:ascii="仿宋" w:hAnsi="仿宋" w:eastAsia="仿宋"/>
                <w:color w:val="000000"/>
                <w:sz w:val="28"/>
                <w:szCs w:val="28"/>
              </w:rPr>
              <w:t>硬件的稳定性、安全性和智能型等</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设备智能存储便捷性</w:t>
            </w:r>
            <w:r>
              <w:rPr>
                <w:rFonts w:hint="eastAsia" w:ascii="仿宋" w:hAnsi="仿宋" w:eastAsia="仿宋"/>
                <w:color w:val="000000"/>
                <w:sz w:val="28"/>
                <w:szCs w:val="28"/>
              </w:rPr>
              <w:t>。</w:t>
            </w:r>
          </w:p>
        </w:tc>
        <w:tc>
          <w:tcPr>
            <w:tcW w:w="1418" w:type="dxa"/>
            <w:vAlign w:val="center"/>
          </w:tcPr>
          <w:p w14:paraId="3DBA3849">
            <w:pPr>
              <w:spacing w:line="360" w:lineRule="auto"/>
              <w:jc w:val="center"/>
              <w:rPr>
                <w:rFonts w:ascii="仿宋" w:hAnsi="仿宋" w:eastAsia="仿宋"/>
                <w:color w:val="000000"/>
                <w:sz w:val="28"/>
                <w:szCs w:val="28"/>
              </w:rPr>
            </w:pPr>
          </w:p>
        </w:tc>
        <w:tc>
          <w:tcPr>
            <w:tcW w:w="1417" w:type="dxa"/>
            <w:vAlign w:val="center"/>
          </w:tcPr>
          <w:p w14:paraId="3C917ED5">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2B1F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5" w:type="dxa"/>
            <w:vAlign w:val="center"/>
          </w:tcPr>
          <w:p w14:paraId="222E9684">
            <w:pPr>
              <w:spacing w:line="360" w:lineRule="auto"/>
              <w:jc w:val="center"/>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2</w:t>
            </w:r>
          </w:p>
        </w:tc>
        <w:tc>
          <w:tcPr>
            <w:tcW w:w="7399" w:type="dxa"/>
            <w:vAlign w:val="center"/>
          </w:tcPr>
          <w:p w14:paraId="127124CE">
            <w:pPr>
              <w:spacing w:line="360" w:lineRule="auto"/>
              <w:rPr>
                <w:rFonts w:ascii="仿宋" w:hAnsi="仿宋" w:eastAsia="仿宋"/>
                <w:color w:val="000000"/>
                <w:sz w:val="28"/>
                <w:szCs w:val="28"/>
              </w:rPr>
            </w:pPr>
            <w:r>
              <w:rPr>
                <w:rFonts w:hint="eastAsia" w:ascii="仿宋" w:hAnsi="仿宋" w:eastAsia="仿宋"/>
                <w:color w:val="000000"/>
                <w:sz w:val="28"/>
                <w:szCs w:val="28"/>
              </w:rPr>
              <w:t>投标人应根据第七部分“评标标准”第四点“评分细则”中相关要点，制作项目经营方案阐述的PPT或介绍。</w:t>
            </w:r>
          </w:p>
        </w:tc>
        <w:tc>
          <w:tcPr>
            <w:tcW w:w="1418" w:type="dxa"/>
            <w:vAlign w:val="center"/>
          </w:tcPr>
          <w:p w14:paraId="45F6F0AC">
            <w:pPr>
              <w:spacing w:line="360" w:lineRule="auto"/>
              <w:jc w:val="center"/>
              <w:rPr>
                <w:rFonts w:ascii="仿宋" w:hAnsi="仿宋" w:eastAsia="仿宋"/>
                <w:color w:val="000000"/>
                <w:sz w:val="28"/>
                <w:szCs w:val="28"/>
              </w:rPr>
            </w:pPr>
          </w:p>
        </w:tc>
        <w:tc>
          <w:tcPr>
            <w:tcW w:w="1417" w:type="dxa"/>
            <w:vAlign w:val="center"/>
          </w:tcPr>
          <w:p w14:paraId="124EA429">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22B6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5" w:type="dxa"/>
            <w:vAlign w:val="center"/>
          </w:tcPr>
          <w:p w14:paraId="1B05DA56">
            <w:pPr>
              <w:spacing w:line="360" w:lineRule="auto"/>
              <w:jc w:val="center"/>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3</w:t>
            </w:r>
          </w:p>
        </w:tc>
        <w:tc>
          <w:tcPr>
            <w:tcW w:w="7399" w:type="dxa"/>
            <w:vAlign w:val="center"/>
          </w:tcPr>
          <w:p w14:paraId="1FAD04A9">
            <w:pPr>
              <w:spacing w:line="360" w:lineRule="auto"/>
              <w:rPr>
                <w:rFonts w:ascii="仿宋" w:hAnsi="仿宋" w:eastAsia="仿宋"/>
                <w:color w:val="000000"/>
                <w:sz w:val="28"/>
                <w:szCs w:val="28"/>
              </w:rPr>
            </w:pPr>
            <w:r>
              <w:rPr>
                <w:rFonts w:hint="eastAsia" w:ascii="仿宋" w:hAnsi="仿宋" w:eastAsia="仿宋"/>
                <w:color w:val="000000"/>
                <w:sz w:val="28"/>
                <w:szCs w:val="28"/>
              </w:rPr>
              <w:t>检查</w:t>
            </w:r>
            <w:r>
              <w:rPr>
                <w:rFonts w:hint="eastAsia" w:ascii="仿宋" w:hAnsi="仿宋" w:eastAsia="仿宋" w:cs="宋体"/>
                <w:color w:val="000000"/>
                <w:kern w:val="0"/>
                <w:sz w:val="28"/>
                <w:szCs w:val="28"/>
              </w:rPr>
              <w:t>项目实施服务方案的</w:t>
            </w:r>
            <w:r>
              <w:rPr>
                <w:rFonts w:hint="eastAsia" w:ascii="仿宋" w:hAnsi="仿宋" w:eastAsia="仿宋"/>
                <w:color w:val="000000"/>
                <w:sz w:val="28"/>
                <w:szCs w:val="28"/>
              </w:rPr>
              <w:t>条款是否满足用户需求书要求。</w:t>
            </w:r>
          </w:p>
        </w:tc>
        <w:tc>
          <w:tcPr>
            <w:tcW w:w="1418" w:type="dxa"/>
            <w:vAlign w:val="center"/>
          </w:tcPr>
          <w:p w14:paraId="07CDEC8D">
            <w:pPr>
              <w:spacing w:line="360" w:lineRule="auto"/>
              <w:jc w:val="center"/>
              <w:rPr>
                <w:rFonts w:ascii="仿宋" w:hAnsi="仿宋" w:eastAsia="仿宋"/>
                <w:color w:val="000000"/>
                <w:sz w:val="28"/>
                <w:szCs w:val="28"/>
              </w:rPr>
            </w:pPr>
          </w:p>
        </w:tc>
        <w:tc>
          <w:tcPr>
            <w:tcW w:w="1417" w:type="dxa"/>
            <w:vAlign w:val="center"/>
          </w:tcPr>
          <w:p w14:paraId="76B32FA4">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第</w:t>
            </w:r>
            <w:r>
              <w:rPr>
                <w:rFonts w:ascii="仿宋" w:hAnsi="仿宋" w:eastAsia="仿宋"/>
                <w:color w:val="000000"/>
                <w:sz w:val="28"/>
                <w:szCs w:val="28"/>
              </w:rPr>
              <w:t xml:space="preserve">   </w:t>
            </w:r>
            <w:r>
              <w:rPr>
                <w:rFonts w:hint="eastAsia" w:ascii="仿宋" w:hAnsi="仿宋" w:eastAsia="仿宋"/>
                <w:color w:val="000000"/>
                <w:sz w:val="28"/>
                <w:szCs w:val="28"/>
              </w:rPr>
              <w:t>页</w:t>
            </w:r>
          </w:p>
        </w:tc>
      </w:tr>
      <w:tr w14:paraId="043E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5" w:type="dxa"/>
            <w:vAlign w:val="center"/>
          </w:tcPr>
          <w:p w14:paraId="42BC874B">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14</w:t>
            </w:r>
          </w:p>
        </w:tc>
        <w:tc>
          <w:tcPr>
            <w:tcW w:w="7399" w:type="dxa"/>
            <w:vAlign w:val="center"/>
          </w:tcPr>
          <w:p w14:paraId="6A48C954">
            <w:pPr>
              <w:spacing w:line="360" w:lineRule="auto"/>
              <w:rPr>
                <w:rFonts w:ascii="仿宋" w:hAnsi="仿宋" w:eastAsia="仿宋"/>
                <w:b/>
                <w:bCs/>
                <w:color w:val="000000"/>
                <w:sz w:val="28"/>
                <w:szCs w:val="28"/>
              </w:rPr>
            </w:pPr>
            <w:r>
              <w:rPr>
                <w:rFonts w:hint="eastAsia" w:ascii="仿宋" w:hAnsi="仿宋" w:eastAsia="仿宋"/>
                <w:color w:val="000000"/>
                <w:sz w:val="28"/>
                <w:szCs w:val="28"/>
              </w:rPr>
              <w:t>检查投标文件是否按要求密封、签名、盖章，内容无错漏。</w:t>
            </w:r>
          </w:p>
        </w:tc>
        <w:tc>
          <w:tcPr>
            <w:tcW w:w="1418" w:type="dxa"/>
            <w:vAlign w:val="center"/>
          </w:tcPr>
          <w:p w14:paraId="73DD3C6D">
            <w:pPr>
              <w:spacing w:line="360" w:lineRule="auto"/>
              <w:jc w:val="center"/>
              <w:rPr>
                <w:rFonts w:ascii="仿宋" w:hAnsi="仿宋" w:eastAsia="仿宋"/>
                <w:color w:val="000000"/>
                <w:sz w:val="28"/>
                <w:szCs w:val="28"/>
              </w:rPr>
            </w:pPr>
          </w:p>
        </w:tc>
        <w:tc>
          <w:tcPr>
            <w:tcW w:w="1417" w:type="dxa"/>
            <w:vAlign w:val="center"/>
          </w:tcPr>
          <w:p w14:paraId="6A3EC51D">
            <w:pPr>
              <w:spacing w:line="360" w:lineRule="auto"/>
              <w:jc w:val="center"/>
              <w:rPr>
                <w:rFonts w:ascii="仿宋" w:hAnsi="仿宋" w:eastAsia="仿宋"/>
                <w:color w:val="000000"/>
                <w:sz w:val="28"/>
                <w:szCs w:val="28"/>
              </w:rPr>
            </w:pPr>
            <w:r>
              <w:rPr>
                <w:rFonts w:ascii="仿宋" w:hAnsi="仿宋" w:eastAsia="仿宋"/>
                <w:color w:val="000000"/>
                <w:sz w:val="28"/>
                <w:szCs w:val="28"/>
              </w:rPr>
              <w:t>——</w:t>
            </w:r>
          </w:p>
        </w:tc>
      </w:tr>
      <w:tr w14:paraId="5124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5" w:type="dxa"/>
            <w:vAlign w:val="center"/>
          </w:tcPr>
          <w:p w14:paraId="3FD0790D">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15</w:t>
            </w:r>
          </w:p>
        </w:tc>
        <w:tc>
          <w:tcPr>
            <w:tcW w:w="7399" w:type="dxa"/>
            <w:vAlign w:val="center"/>
          </w:tcPr>
          <w:p w14:paraId="63317543">
            <w:pPr>
              <w:spacing w:line="360" w:lineRule="auto"/>
              <w:rPr>
                <w:rFonts w:ascii="仿宋" w:hAnsi="仿宋" w:eastAsia="仿宋"/>
                <w:color w:val="000000"/>
                <w:sz w:val="28"/>
                <w:szCs w:val="28"/>
              </w:rPr>
            </w:pPr>
            <w:r>
              <w:rPr>
                <w:rFonts w:hint="eastAsia" w:ascii="仿宋" w:hAnsi="仿宋" w:eastAsia="仿宋"/>
                <w:color w:val="000000"/>
                <w:sz w:val="28"/>
                <w:szCs w:val="28"/>
              </w:rPr>
              <w:t>检查唱租信封是否有内容齐全（单独密封包装）。</w:t>
            </w:r>
          </w:p>
        </w:tc>
        <w:tc>
          <w:tcPr>
            <w:tcW w:w="1418" w:type="dxa"/>
            <w:vAlign w:val="center"/>
          </w:tcPr>
          <w:p w14:paraId="19828F2A">
            <w:pPr>
              <w:spacing w:line="360" w:lineRule="auto"/>
              <w:jc w:val="center"/>
              <w:rPr>
                <w:rFonts w:ascii="仿宋" w:hAnsi="仿宋" w:eastAsia="仿宋"/>
                <w:color w:val="000000"/>
                <w:sz w:val="28"/>
                <w:szCs w:val="28"/>
              </w:rPr>
            </w:pPr>
          </w:p>
        </w:tc>
        <w:tc>
          <w:tcPr>
            <w:tcW w:w="1417" w:type="dxa"/>
            <w:vAlign w:val="center"/>
          </w:tcPr>
          <w:p w14:paraId="01DAE4CE">
            <w:pPr>
              <w:spacing w:line="360" w:lineRule="auto"/>
              <w:jc w:val="center"/>
              <w:rPr>
                <w:rFonts w:ascii="仿宋" w:hAnsi="仿宋" w:eastAsia="仿宋"/>
                <w:color w:val="000000"/>
                <w:sz w:val="28"/>
                <w:szCs w:val="28"/>
              </w:rPr>
            </w:pPr>
            <w:r>
              <w:rPr>
                <w:rFonts w:ascii="仿宋" w:hAnsi="仿宋" w:eastAsia="仿宋"/>
                <w:color w:val="000000"/>
                <w:sz w:val="28"/>
                <w:szCs w:val="28"/>
              </w:rPr>
              <w:t>——</w:t>
            </w:r>
          </w:p>
        </w:tc>
      </w:tr>
      <w:bookmarkEnd w:id="2"/>
    </w:tbl>
    <w:p w14:paraId="438A0CBB">
      <w:pPr>
        <w:rPr>
          <w:rFonts w:ascii="仿宋" w:hAnsi="仿宋" w:eastAsia="仿宋" w:cs="仿宋"/>
          <w:sz w:val="28"/>
          <w:szCs w:val="28"/>
        </w:rPr>
      </w:pPr>
      <w:r>
        <w:rPr>
          <w:rFonts w:hint="eastAsia" w:ascii="宋体" w:hAnsi="宋体"/>
          <w:color w:val="000000"/>
          <w:szCs w:val="21"/>
        </w:rPr>
        <w:t>重要提示：请竞选人认真核对上述条目相关资料提供情况，并标明页内码，以利于评委评审时快速查对。</w:t>
      </w:r>
      <w:r>
        <w:rPr>
          <w:rFonts w:hint="eastAsia" w:ascii="宋体" w:hAnsi="宋体" w:cs="仿宋"/>
          <w:szCs w:val="21"/>
        </w:rPr>
        <w:t>上表内容将作为投标人资格性审查的重要内容之一，投标人必须严格按照上表所列要求在投标文件中对应如实提供，对资格性审查证明文件的任何缺漏和不符合项将会直接导致投标无效。2、投标人根据自查结果确认请打“√”。</w:t>
      </w:r>
    </w:p>
    <w:p w14:paraId="4BAE7D28">
      <w:pPr>
        <w:adjustRightInd w:val="0"/>
        <w:snapToGrid w:val="0"/>
        <w:spacing w:before="72" w:after="72"/>
        <w:jc w:val="left"/>
        <w:rPr>
          <w:rFonts w:ascii="仿宋" w:hAnsi="仿宋" w:eastAsia="仿宋" w:cs="仿宋"/>
          <w:sz w:val="28"/>
          <w:szCs w:val="28"/>
          <w:u w:val="single"/>
        </w:rPr>
      </w:pPr>
      <w:r>
        <w:rPr>
          <w:rFonts w:hint="eastAsia" w:ascii="仿宋" w:hAnsi="仿宋" w:eastAsia="仿宋" w:cs="仿宋"/>
          <w:sz w:val="28"/>
          <w:szCs w:val="28"/>
        </w:rPr>
        <w:t>投标人名称（加盖公章）：</w:t>
      </w:r>
    </w:p>
    <w:p w14:paraId="0DB8B134">
      <w:pPr>
        <w:adjustRightInd w:val="0"/>
        <w:snapToGrid w:val="0"/>
        <w:spacing w:before="72" w:after="72"/>
        <w:jc w:val="left"/>
        <w:rPr>
          <w:rFonts w:ascii="仿宋" w:hAnsi="仿宋" w:eastAsia="仿宋" w:cs="仿宋"/>
          <w:sz w:val="28"/>
          <w:szCs w:val="28"/>
          <w:u w:val="single"/>
        </w:rPr>
      </w:pPr>
      <w:r>
        <w:rPr>
          <w:rFonts w:hint="eastAsia" w:ascii="仿宋" w:hAnsi="仿宋" w:eastAsia="仿宋" w:cs="仿宋"/>
          <w:sz w:val="28"/>
          <w:szCs w:val="28"/>
        </w:rPr>
        <w:t>投标人法定代表人或其授权代表（签字或盖章）：</w:t>
      </w:r>
    </w:p>
    <w:p w14:paraId="4D79CDD3">
      <w:pPr>
        <w:spacing w:before="72" w:after="72"/>
        <w:ind w:firstLine="3684" w:firstLineChars="1316"/>
        <w:jc w:val="right"/>
      </w:pPr>
      <w:r>
        <w:rPr>
          <w:rFonts w:hint="eastAsia" w:ascii="仿宋" w:hAnsi="仿宋" w:eastAsia="仿宋" w:cs="仿宋"/>
          <w:sz w:val="28"/>
          <w:szCs w:val="28"/>
        </w:rPr>
        <w:t>日期：   年   月   日</w:t>
      </w:r>
    </w:p>
    <w:p w14:paraId="481C7291">
      <w:pPr>
        <w:tabs>
          <w:tab w:val="left" w:pos="1262"/>
        </w:tabs>
        <w:spacing w:line="360" w:lineRule="auto"/>
        <w:ind w:right="25" w:rightChars="12"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四、投标文件有下列情况之一者为无效投标文件：</w:t>
      </w:r>
    </w:p>
    <w:p w14:paraId="74E937C9">
      <w:pPr>
        <w:spacing w:line="360" w:lineRule="auto"/>
        <w:ind w:left="540" w:leftChars="257"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（一）投标文件未按</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文件规定封装及盖章，或投标文件份数不满足</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文件要求的；</w:t>
      </w:r>
    </w:p>
    <w:p w14:paraId="29CBDC66">
      <w:pPr>
        <w:spacing w:line="360" w:lineRule="auto"/>
        <w:ind w:left="540" w:leftChars="257"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（二）投标文件未按</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文件规定加盖公章，文件里面无法定代表人证明书和法人授权托委托书，无签名和盖章的；</w:t>
      </w:r>
    </w:p>
    <w:p w14:paraId="152AB02F">
      <w:pPr>
        <w:spacing w:line="360" w:lineRule="auto"/>
        <w:ind w:left="540" w:leftChars="257"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（三）投标文件内容字迹模糊，无法辨认的；</w:t>
      </w:r>
    </w:p>
    <w:p w14:paraId="4F7F7824">
      <w:pPr>
        <w:spacing w:line="360" w:lineRule="auto"/>
        <w:ind w:left="540" w:leftChars="257"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（四）投标文件未在规定时间内送达的；</w:t>
      </w:r>
    </w:p>
    <w:p w14:paraId="4D8D5EBF">
      <w:pPr>
        <w:spacing w:line="360" w:lineRule="auto"/>
        <w:ind w:left="540" w:leftChars="257"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（五）本</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文件技术指标要求中，对于重要的技术指标要求，投标人必须完全满足或优于这些要求，若有一项重要指标未响应或低于指标要求的，将视为不合格的投标人。</w:t>
      </w:r>
    </w:p>
    <w:p w14:paraId="385A3158">
      <w:pPr>
        <w:tabs>
          <w:tab w:val="left" w:pos="360"/>
        </w:tabs>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五、投标人对</w:t>
      </w:r>
      <w:r>
        <w:rPr>
          <w:rFonts w:hint="eastAsia" w:ascii="仿宋" w:hAnsi="仿宋" w:eastAsia="仿宋" w:cs="仿宋"/>
          <w:color w:val="000000"/>
          <w:kern w:val="0"/>
          <w:sz w:val="28"/>
          <w:szCs w:val="28"/>
          <w:lang w:eastAsia="zh-CN"/>
        </w:rPr>
        <w:t>遴选</w:t>
      </w:r>
      <w:r>
        <w:rPr>
          <w:rFonts w:hint="eastAsia" w:ascii="仿宋" w:hAnsi="仿宋" w:eastAsia="仿宋" w:cs="仿宋"/>
          <w:color w:val="000000"/>
          <w:kern w:val="0"/>
          <w:sz w:val="28"/>
          <w:szCs w:val="28"/>
        </w:rPr>
        <w:t>文件如有疑点要求澄清，在提交投标文件后3天内，应以书面形式通知</w:t>
      </w:r>
      <w:r>
        <w:rPr>
          <w:rFonts w:hint="eastAsia" w:ascii="仿宋" w:hAnsi="仿宋" w:eastAsia="仿宋" w:cs="仿宋"/>
          <w:color w:val="000000"/>
          <w:kern w:val="0"/>
          <w:sz w:val="28"/>
          <w:szCs w:val="28"/>
          <w:lang w:eastAsia="zh-CN"/>
        </w:rPr>
        <w:t>遴选</w:t>
      </w:r>
      <w:r>
        <w:rPr>
          <w:rFonts w:hint="eastAsia" w:ascii="仿宋" w:hAnsi="仿宋" w:eastAsia="仿宋" w:cs="仿宋"/>
          <w:color w:val="000000"/>
          <w:kern w:val="0"/>
          <w:sz w:val="28"/>
          <w:szCs w:val="28"/>
        </w:rPr>
        <w:t>人。</w:t>
      </w:r>
    </w:p>
    <w:p w14:paraId="5558D634">
      <w:pPr>
        <w:pStyle w:val="2"/>
        <w:jc w:val="center"/>
      </w:pPr>
      <w:r>
        <w:rPr>
          <w:rFonts w:hint="eastAsia"/>
        </w:rPr>
        <w:t>第七部分 评标标准</w:t>
      </w:r>
    </w:p>
    <w:p w14:paraId="311B1CC3">
      <w:pPr>
        <w:tabs>
          <w:tab w:val="left" w:pos="2880"/>
        </w:tabs>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本次</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是在“公平、公开、公正”原则上，面向全社会进行的公开</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，并由有关部门全程监督。</w:t>
      </w:r>
    </w:p>
    <w:p w14:paraId="079047F0">
      <w:pPr>
        <w:spacing w:line="360" w:lineRule="auto"/>
        <w:ind w:right="278"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一、评标文件合格性审查</w:t>
      </w:r>
    </w:p>
    <w:p w14:paraId="2BAD4F9B">
      <w:pPr>
        <w:spacing w:line="360" w:lineRule="auto"/>
        <w:ind w:right="278" w:firstLine="565" w:firstLineChars="202"/>
        <w:rPr>
          <w:rFonts w:ascii="仿宋" w:hAnsi="仿宋" w:eastAsia="仿宋" w:cs="仿宋"/>
          <w:color w:val="FF0000"/>
          <w:sz w:val="28"/>
          <w:szCs w:val="28"/>
        </w:rPr>
      </w:pPr>
      <w:r>
        <w:rPr>
          <w:rFonts w:hint="eastAsia" w:ascii="仿宋" w:hAnsi="仿宋" w:eastAsia="仿宋" w:cs="仿宋"/>
          <w:color w:val="FF0000"/>
          <w:sz w:val="28"/>
          <w:szCs w:val="28"/>
        </w:rPr>
        <w:t>评租小组对所有投标文件进行合格性审查，</w:t>
      </w:r>
      <w:r>
        <w:rPr>
          <w:rFonts w:hint="eastAsia" w:ascii="仿宋" w:hAnsi="仿宋" w:eastAsia="仿宋" w:cs="仿宋"/>
          <w:color w:val="FF0000"/>
          <w:sz w:val="28"/>
          <w:szCs w:val="28"/>
          <w:u w:val="single"/>
        </w:rPr>
        <w:t>审查合格的投标文件才可进入后续评分及其他评审</w:t>
      </w:r>
      <w:r>
        <w:rPr>
          <w:rFonts w:hint="eastAsia" w:ascii="仿宋" w:hAnsi="仿宋" w:eastAsia="仿宋" w:cs="仿宋"/>
          <w:color w:val="FF0000"/>
          <w:sz w:val="28"/>
          <w:szCs w:val="28"/>
        </w:rPr>
        <w:t>，审查不合格的投标文件为无效投标，无效投标不得进入后续评审。</w:t>
      </w:r>
    </w:p>
    <w:p w14:paraId="5371A2C9">
      <w:pPr>
        <w:spacing w:line="360" w:lineRule="auto"/>
        <w:ind w:right="278" w:firstLine="565" w:firstLineChars="202"/>
        <w:rPr>
          <w:rFonts w:ascii="仿宋" w:hAnsi="仿宋" w:eastAsia="仿宋" w:cs="仿宋"/>
          <w:color w:val="000000"/>
          <w:sz w:val="28"/>
          <w:szCs w:val="28"/>
        </w:rPr>
      </w:pPr>
      <w:r>
        <w:rPr>
          <w:rFonts w:hint="eastAsia" w:ascii="仿宋" w:hAnsi="仿宋" w:eastAsia="仿宋" w:cs="仿宋"/>
          <w:color w:val="000000"/>
          <w:sz w:val="28"/>
          <w:szCs w:val="28"/>
        </w:rPr>
        <w:t>投标文件审查项目包括：1.投标人的合格性（包括相关证明文件要求）；2.投标文件的完整性； 3.投标文件是否为有效签署；4.对</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文件的响应情况；5.经营范围是否符合</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文件要求。</w:t>
      </w:r>
    </w:p>
    <w:p w14:paraId="25E0E50A">
      <w:pPr>
        <w:spacing w:line="360" w:lineRule="auto"/>
        <w:ind w:right="278"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二、评分组成</w:t>
      </w:r>
    </w:p>
    <w:p w14:paraId="343F8704">
      <w:pPr>
        <w:spacing w:line="360" w:lineRule="auto"/>
        <w:ind w:right="278" w:firstLine="565" w:firstLineChars="202"/>
        <w:rPr>
          <w:rFonts w:ascii="仿宋" w:hAnsi="仿宋" w:eastAsia="仿宋" w:cs="仿宋"/>
          <w:color w:val="000000"/>
          <w:sz w:val="28"/>
          <w:szCs w:val="28"/>
        </w:rPr>
      </w:pPr>
      <w:r>
        <w:rPr>
          <w:rFonts w:hint="eastAsia" w:ascii="仿宋" w:hAnsi="仿宋" w:eastAsia="仿宋" w:cs="仿宋"/>
          <w:color w:val="000000"/>
          <w:sz w:val="28"/>
          <w:szCs w:val="28"/>
        </w:rPr>
        <w:t>商务评分+技术评分+现场考察分</w:t>
      </w:r>
    </w:p>
    <w:p w14:paraId="38C2B305">
      <w:pPr>
        <w:spacing w:line="360" w:lineRule="auto"/>
        <w:ind w:right="278"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三、评分方法</w:t>
      </w:r>
    </w:p>
    <w:p w14:paraId="1C74D0C2">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(一)商务评分：</w:t>
      </w:r>
    </w:p>
    <w:p w14:paraId="6B55EE05">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商务评分主要依据本</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文件第二部分“用户需求书”第一点“投标人基本要求”由各评委独立打分，再根据各评委的评分结果的加权算术平均值，即得出投标人的商务分值。</w:t>
      </w:r>
    </w:p>
    <w:p w14:paraId="6084F63B">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（二）技术评分</w:t>
      </w:r>
    </w:p>
    <w:p w14:paraId="229B61C0">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商务评分主要依据本</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文件第二部分“用户需求书”第一点“投标人基本要求”及本</w:t>
      </w:r>
      <w:r>
        <w:rPr>
          <w:rFonts w:hint="eastAsia" w:ascii="仿宋" w:hAnsi="仿宋" w:eastAsia="仿宋" w:cs="仿宋"/>
          <w:color w:val="000000"/>
          <w:sz w:val="28"/>
          <w:szCs w:val="28"/>
          <w:lang w:eastAsia="zh-CN"/>
        </w:rPr>
        <w:t>遴选</w:t>
      </w:r>
      <w:r>
        <w:rPr>
          <w:rFonts w:hint="eastAsia" w:ascii="仿宋" w:hAnsi="仿宋" w:eastAsia="仿宋" w:cs="仿宋"/>
          <w:color w:val="000000"/>
          <w:sz w:val="28"/>
          <w:szCs w:val="28"/>
        </w:rPr>
        <w:t>文件中其他技术条件要求，由各评委独立打分，再根据各评委的评分结果的加权算术平均值，即得出投标人的技术分值。</w:t>
      </w:r>
    </w:p>
    <w:p w14:paraId="4D507D37">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（三）现场考察分：</w:t>
      </w:r>
    </w:p>
    <w:p w14:paraId="2392DE83">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由投标人自行选取一处与本项目相同或类似的在营场所，提供的照片、视频等材料，同时拟定本项目现场实施方案及效果预估，各评委根据方案陈述情况进行独立打分，再根据各评委的评分结果的加权算术平均值，即得出投标人的现场考察分值。</w:t>
      </w:r>
    </w:p>
    <w:p w14:paraId="703366B8">
      <w:pPr>
        <w:spacing w:line="360" w:lineRule="auto"/>
        <w:ind w:right="278"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（四）总分：</w:t>
      </w:r>
    </w:p>
    <w:p w14:paraId="2525F1A1">
      <w:pPr>
        <w:spacing w:line="360" w:lineRule="auto"/>
        <w:ind w:right="278" w:firstLine="560" w:firstLineChars="200"/>
        <w:rPr>
          <w:rFonts w:ascii="仿宋" w:hAnsi="仿宋" w:eastAsia="仿宋" w:cs="仿宋"/>
          <w:color w:val="FF0000"/>
          <w:sz w:val="28"/>
          <w:szCs w:val="28"/>
        </w:rPr>
      </w:pPr>
      <w:r>
        <w:rPr>
          <w:rFonts w:hint="eastAsia" w:ascii="仿宋" w:hAnsi="仿宋" w:eastAsia="仿宋" w:cs="仿宋"/>
          <w:color w:val="000000"/>
          <w:sz w:val="28"/>
          <w:szCs w:val="28"/>
        </w:rPr>
        <w:t>投标人的总分＝商务分＋技术分+现场考察分，满分为100分。评租小组将根据投标人的最终得分，推荐得分最高为中标人，得分第二的投标人为备选单位。如出现最高分同分现象（即有两家或两家以上的投标单位取得相同分数），则现场考察分高者中标；若仍相同，由评租小组通过投票确定中标单位。</w:t>
      </w:r>
    </w:p>
    <w:p w14:paraId="23DBD216">
      <w:pPr>
        <w:spacing w:line="360" w:lineRule="auto"/>
        <w:ind w:right="278"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四、评分细则</w:t>
      </w:r>
    </w:p>
    <w:p w14:paraId="07D5528B">
      <w:pPr>
        <w:widowControl/>
        <w:jc w:val="center"/>
        <w:textAlignment w:val="center"/>
        <w:rPr>
          <w:rFonts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华南理工大学五山校区智能储存管理服务商</w:t>
      </w:r>
      <w:r>
        <w:rPr>
          <w:rFonts w:hint="eastAsia" w:ascii="仿宋" w:hAnsi="仿宋" w:eastAsia="仿宋" w:cs="仿宋"/>
          <w:b/>
          <w:color w:val="000000"/>
          <w:kern w:val="0"/>
          <w:sz w:val="28"/>
          <w:szCs w:val="28"/>
          <w:lang w:eastAsia="zh-CN" w:bidi="ar"/>
        </w:rPr>
        <w:t>遴选</w:t>
      </w:r>
      <w:r>
        <w:rPr>
          <w:rFonts w:hint="eastAsia" w:ascii="仿宋" w:hAnsi="仿宋" w:eastAsia="仿宋" w:cs="仿宋"/>
          <w:b/>
          <w:color w:val="000000"/>
          <w:kern w:val="0"/>
          <w:sz w:val="28"/>
          <w:szCs w:val="28"/>
          <w:lang w:bidi="ar"/>
        </w:rPr>
        <w:t>评分表</w:t>
      </w:r>
    </w:p>
    <w:tbl>
      <w:tblPr>
        <w:tblStyle w:val="8"/>
        <w:tblW w:w="8610" w:type="dxa"/>
        <w:tblInd w:w="0" w:type="dxa"/>
        <w:tblLayout w:type="fixed"/>
        <w:tblCellMar>
          <w:top w:w="15" w:type="dxa"/>
          <w:left w:w="15" w:type="dxa"/>
          <w:bottom w:w="15" w:type="dxa"/>
          <w:right w:w="15" w:type="dxa"/>
        </w:tblCellMar>
      </w:tblPr>
      <w:tblGrid>
        <w:gridCol w:w="1482"/>
        <w:gridCol w:w="1839"/>
        <w:gridCol w:w="2814"/>
        <w:gridCol w:w="1395"/>
        <w:gridCol w:w="1080"/>
      </w:tblGrid>
      <w:tr w14:paraId="103DD79B">
        <w:tblPrEx>
          <w:tblCellMar>
            <w:top w:w="15" w:type="dxa"/>
            <w:left w:w="15" w:type="dxa"/>
            <w:bottom w:w="15" w:type="dxa"/>
            <w:right w:w="15" w:type="dxa"/>
          </w:tblCellMar>
        </w:tblPrEx>
        <w:trPr>
          <w:trHeight w:val="852" w:hRule="atLeast"/>
        </w:trPr>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40B4">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评审类别</w:t>
            </w:r>
          </w:p>
        </w:tc>
        <w:tc>
          <w:tcPr>
            <w:tcW w:w="1839" w:type="dxa"/>
            <w:tcBorders>
              <w:top w:val="single" w:color="000000" w:sz="4" w:space="0"/>
              <w:bottom w:val="single" w:color="000000" w:sz="4" w:space="0"/>
              <w:right w:val="single" w:color="000000" w:sz="4" w:space="0"/>
            </w:tcBorders>
            <w:shd w:val="clear" w:color="auto" w:fill="auto"/>
            <w:vAlign w:val="center"/>
          </w:tcPr>
          <w:p w14:paraId="7D7D0E0F">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评审项目</w:t>
            </w:r>
          </w:p>
        </w:tc>
        <w:tc>
          <w:tcPr>
            <w:tcW w:w="2814" w:type="dxa"/>
            <w:tcBorders>
              <w:top w:val="single" w:color="000000" w:sz="4" w:space="0"/>
              <w:bottom w:val="single" w:color="000000" w:sz="4" w:space="0"/>
              <w:right w:val="single" w:color="000000" w:sz="4" w:space="0"/>
            </w:tcBorders>
            <w:shd w:val="clear" w:color="auto" w:fill="auto"/>
            <w:vAlign w:val="center"/>
          </w:tcPr>
          <w:p w14:paraId="263CD048">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评分标准</w:t>
            </w:r>
          </w:p>
        </w:tc>
        <w:tc>
          <w:tcPr>
            <w:tcW w:w="1395" w:type="dxa"/>
            <w:tcBorders>
              <w:top w:val="single" w:color="000000" w:sz="4" w:space="0"/>
              <w:bottom w:val="single" w:color="000000" w:sz="4" w:space="0"/>
              <w:right w:val="single" w:color="000000" w:sz="4" w:space="0"/>
            </w:tcBorders>
            <w:shd w:val="clear" w:color="auto" w:fill="auto"/>
            <w:vAlign w:val="center"/>
          </w:tcPr>
          <w:p w14:paraId="5E8F9854">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分值</w:t>
            </w:r>
          </w:p>
        </w:tc>
        <w:tc>
          <w:tcPr>
            <w:tcW w:w="1080" w:type="dxa"/>
            <w:tcBorders>
              <w:top w:val="single" w:color="000000" w:sz="4" w:space="0"/>
              <w:bottom w:val="single" w:color="000000" w:sz="4" w:space="0"/>
              <w:right w:val="single" w:color="000000" w:sz="4" w:space="0"/>
            </w:tcBorders>
            <w:shd w:val="clear" w:color="auto" w:fill="auto"/>
            <w:vAlign w:val="center"/>
          </w:tcPr>
          <w:p w14:paraId="2192B2D9">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bidi="ar"/>
              </w:rPr>
              <w:t>评分</w:t>
            </w:r>
          </w:p>
        </w:tc>
      </w:tr>
      <w:tr w14:paraId="0FBB6E37">
        <w:tblPrEx>
          <w:tblCellMar>
            <w:top w:w="15" w:type="dxa"/>
            <w:left w:w="15" w:type="dxa"/>
            <w:bottom w:w="15" w:type="dxa"/>
            <w:right w:w="15" w:type="dxa"/>
          </w:tblCellMar>
        </w:tblPrEx>
        <w:trPr>
          <w:trHeight w:val="600" w:hRule="atLeast"/>
        </w:trPr>
        <w:tc>
          <w:tcPr>
            <w:tcW w:w="1482" w:type="dxa"/>
            <w:vMerge w:val="restart"/>
            <w:tcBorders>
              <w:left w:val="single" w:color="000000" w:sz="4" w:space="0"/>
              <w:bottom w:val="single" w:color="000000" w:sz="4" w:space="0"/>
              <w:right w:val="single" w:color="000000" w:sz="4" w:space="0"/>
            </w:tcBorders>
            <w:shd w:val="clear" w:color="auto" w:fill="auto"/>
            <w:vAlign w:val="center"/>
          </w:tcPr>
          <w:p w14:paraId="6F12086E">
            <w:pPr>
              <w:widowControl/>
              <w:jc w:val="center"/>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商务分</w:t>
            </w:r>
          </w:p>
          <w:p w14:paraId="50842186">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val="en-US" w:eastAsia="zh-CN" w:bidi="ar"/>
              </w:rPr>
              <w:t>40</w:t>
            </w:r>
            <w:r>
              <w:rPr>
                <w:rFonts w:hint="eastAsia" w:ascii="仿宋" w:hAnsi="仿宋" w:eastAsia="仿宋" w:cs="仿宋"/>
                <w:b/>
                <w:color w:val="000000"/>
                <w:kern w:val="0"/>
                <w:sz w:val="28"/>
                <w:szCs w:val="28"/>
                <w:lang w:bidi="ar"/>
              </w:rPr>
              <w:t>分</w:t>
            </w:r>
          </w:p>
        </w:tc>
        <w:tc>
          <w:tcPr>
            <w:tcW w:w="1839" w:type="dxa"/>
            <w:vMerge w:val="restart"/>
            <w:tcBorders>
              <w:bottom w:val="single" w:color="000000" w:sz="4" w:space="0"/>
              <w:right w:val="single" w:color="000000" w:sz="4" w:space="0"/>
            </w:tcBorders>
            <w:shd w:val="clear" w:color="auto" w:fill="auto"/>
            <w:vAlign w:val="center"/>
          </w:tcPr>
          <w:p w14:paraId="44221F5C">
            <w:pPr>
              <w:widowControl/>
              <w:textAlignment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行业资格证书</w:t>
            </w:r>
          </w:p>
        </w:tc>
        <w:tc>
          <w:tcPr>
            <w:tcW w:w="2814" w:type="dxa"/>
            <w:tcBorders>
              <w:right w:val="single" w:color="000000" w:sz="4" w:space="0"/>
            </w:tcBorders>
            <w:shd w:val="clear" w:color="auto" w:fill="auto"/>
            <w:vAlign w:val="center"/>
          </w:tcPr>
          <w:p w14:paraId="63808A2C">
            <w:pPr>
              <w:widowControl/>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供应商应具备</w:t>
            </w:r>
            <w:r>
              <w:rPr>
                <w:rFonts w:hint="eastAsia" w:ascii="仿宋" w:hAnsi="仿宋" w:eastAsia="仿宋" w:cs="仿宋"/>
                <w:color w:val="000000"/>
                <w:kern w:val="0"/>
                <w:sz w:val="24"/>
                <w:highlight w:val="none"/>
                <w:lang w:val="en-US" w:eastAsia="zh-CN" w:bidi="ar"/>
              </w:rPr>
              <w:t>合法经营凭证</w:t>
            </w:r>
            <w:r>
              <w:rPr>
                <w:rFonts w:hint="eastAsia" w:ascii="仿宋" w:hAnsi="仿宋" w:eastAsia="仿宋" w:cs="仿宋"/>
                <w:color w:val="000000"/>
                <w:kern w:val="0"/>
                <w:sz w:val="24"/>
                <w:highlight w:val="none"/>
                <w:lang w:bidi="ar"/>
              </w:rPr>
              <w:t>，需提供由</w:t>
            </w:r>
            <w:r>
              <w:rPr>
                <w:rFonts w:hint="eastAsia" w:ascii="仿宋" w:hAnsi="仿宋" w:eastAsia="仿宋" w:cs="仿宋"/>
                <w:color w:val="000000"/>
                <w:kern w:val="0"/>
                <w:sz w:val="24"/>
                <w:highlight w:val="none"/>
                <w:lang w:val="en-US" w:eastAsia="zh-CN" w:bidi="ar"/>
              </w:rPr>
              <w:t>通信管理局发放</w:t>
            </w:r>
            <w:r>
              <w:rPr>
                <w:rFonts w:hint="eastAsia" w:ascii="仿宋" w:hAnsi="仿宋" w:eastAsia="仿宋" w:cs="仿宋"/>
                <w:color w:val="000000"/>
                <w:kern w:val="0"/>
                <w:sz w:val="24"/>
                <w:highlight w:val="none"/>
                <w:lang w:bidi="ar"/>
              </w:rPr>
              <w:t>的</w:t>
            </w:r>
            <w:r>
              <w:rPr>
                <w:rFonts w:hint="eastAsia" w:ascii="仿宋" w:hAnsi="仿宋" w:eastAsia="仿宋" w:cs="仿宋"/>
                <w:color w:val="000000"/>
                <w:kern w:val="0"/>
                <w:sz w:val="24"/>
                <w:highlight w:val="none"/>
                <w:lang w:val="en-US" w:eastAsia="zh-CN" w:bidi="ar"/>
              </w:rPr>
              <w:t>增值电信业务经营许可证</w:t>
            </w:r>
            <w:r>
              <w:rPr>
                <w:rFonts w:hint="eastAsia" w:ascii="仿宋" w:hAnsi="仿宋" w:eastAsia="仿宋" w:cs="仿宋"/>
                <w:color w:val="000000"/>
                <w:kern w:val="0"/>
                <w:sz w:val="24"/>
                <w:highlight w:val="none"/>
                <w:lang w:bidi="ar"/>
              </w:rPr>
              <w:t>，提供证书</w:t>
            </w:r>
            <w:r>
              <w:rPr>
                <w:rFonts w:hint="eastAsia" w:ascii="仿宋" w:hAnsi="仿宋" w:eastAsia="仿宋" w:cs="仿宋"/>
                <w:color w:val="000000"/>
                <w:kern w:val="0"/>
                <w:sz w:val="24"/>
                <w:highlight w:val="none"/>
                <w:lang w:val="en-US" w:eastAsia="zh-CN" w:bidi="ar"/>
              </w:rPr>
              <w:t>扫描件加盖供应商公章</w:t>
            </w:r>
            <w:r>
              <w:rPr>
                <w:rFonts w:hint="eastAsia" w:ascii="仿宋" w:hAnsi="仿宋" w:eastAsia="仿宋" w:cs="仿宋"/>
                <w:color w:val="000000"/>
                <w:kern w:val="0"/>
                <w:sz w:val="24"/>
                <w:highlight w:val="none"/>
                <w:lang w:bidi="ar"/>
              </w:rPr>
              <w:t>得</w:t>
            </w:r>
            <w:r>
              <w:rPr>
                <w:rFonts w:hint="eastAsia" w:ascii="仿宋" w:hAnsi="仿宋" w:eastAsia="仿宋" w:cs="仿宋"/>
                <w:color w:val="000000"/>
                <w:kern w:val="0"/>
                <w:sz w:val="24"/>
                <w:highlight w:val="none"/>
                <w:lang w:val="en-US" w:eastAsia="zh-CN" w:bidi="ar"/>
              </w:rPr>
              <w:t>5</w:t>
            </w:r>
            <w:r>
              <w:rPr>
                <w:rFonts w:hint="eastAsia" w:ascii="仿宋" w:hAnsi="仿宋" w:eastAsia="仿宋" w:cs="仿宋"/>
                <w:color w:val="000000"/>
                <w:kern w:val="0"/>
                <w:sz w:val="24"/>
                <w:highlight w:val="none"/>
                <w:lang w:bidi="ar"/>
              </w:rPr>
              <w:t>分，</w:t>
            </w:r>
            <w:r>
              <w:rPr>
                <w:rFonts w:hint="eastAsia" w:ascii="仿宋" w:hAnsi="仿宋" w:eastAsia="仿宋" w:cs="仿宋"/>
                <w:color w:val="000000"/>
                <w:kern w:val="0"/>
                <w:sz w:val="24"/>
                <w:highlight w:val="none"/>
                <w:lang w:val="en-US" w:eastAsia="zh-CN" w:bidi="ar"/>
              </w:rPr>
              <w:t>不</w:t>
            </w:r>
            <w:r>
              <w:rPr>
                <w:rFonts w:hint="eastAsia" w:ascii="仿宋" w:hAnsi="仿宋" w:eastAsia="仿宋" w:cs="仿宋"/>
                <w:color w:val="000000"/>
                <w:kern w:val="0"/>
                <w:sz w:val="24"/>
                <w:highlight w:val="none"/>
                <w:lang w:bidi="ar"/>
              </w:rPr>
              <w:t>提供不得分。</w:t>
            </w:r>
          </w:p>
        </w:tc>
        <w:tc>
          <w:tcPr>
            <w:tcW w:w="1395" w:type="dxa"/>
            <w:vMerge w:val="restart"/>
            <w:tcBorders>
              <w:bottom w:val="single" w:color="000000" w:sz="4" w:space="0"/>
              <w:right w:val="single" w:color="000000" w:sz="4" w:space="0"/>
            </w:tcBorders>
            <w:shd w:val="clear" w:color="auto" w:fill="auto"/>
            <w:vAlign w:val="center"/>
          </w:tcPr>
          <w:p w14:paraId="0C8283CA">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1080" w:type="dxa"/>
            <w:vMerge w:val="restart"/>
            <w:tcBorders>
              <w:bottom w:val="single" w:color="000000" w:sz="4" w:space="0"/>
              <w:right w:val="single" w:color="000000" w:sz="4" w:space="0"/>
            </w:tcBorders>
            <w:shd w:val="clear" w:color="auto" w:fill="auto"/>
            <w:vAlign w:val="center"/>
          </w:tcPr>
          <w:p w14:paraId="1021AEA5">
            <w:pPr>
              <w:rPr>
                <w:rFonts w:ascii="仿宋" w:hAnsi="仿宋" w:eastAsia="仿宋" w:cs="仿宋"/>
                <w:color w:val="000000"/>
                <w:sz w:val="28"/>
                <w:szCs w:val="28"/>
              </w:rPr>
            </w:pPr>
          </w:p>
        </w:tc>
      </w:tr>
      <w:tr w14:paraId="3B54F0F9">
        <w:tblPrEx>
          <w:tblCellMar>
            <w:top w:w="15" w:type="dxa"/>
            <w:left w:w="15" w:type="dxa"/>
            <w:bottom w:w="15" w:type="dxa"/>
            <w:right w:w="15" w:type="dxa"/>
          </w:tblCellMar>
        </w:tblPrEx>
        <w:trPr>
          <w:trHeight w:val="9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02627AA5">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31841571">
            <w:pPr>
              <w:rPr>
                <w:rFonts w:ascii="仿宋" w:hAnsi="仿宋" w:eastAsia="仿宋" w:cs="仿宋"/>
                <w:color w:val="000000"/>
                <w:sz w:val="28"/>
                <w:szCs w:val="28"/>
              </w:rPr>
            </w:pPr>
          </w:p>
        </w:tc>
        <w:tc>
          <w:tcPr>
            <w:tcW w:w="2814" w:type="dxa"/>
            <w:tcBorders>
              <w:bottom w:val="single" w:color="000000" w:sz="4" w:space="0"/>
              <w:right w:val="single" w:color="000000" w:sz="4" w:space="0"/>
            </w:tcBorders>
            <w:shd w:val="clear" w:color="auto" w:fill="auto"/>
            <w:vAlign w:val="center"/>
          </w:tcPr>
          <w:p w14:paraId="3B208A97">
            <w:pPr>
              <w:widowControl/>
              <w:textAlignment w:val="center"/>
              <w:rPr>
                <w:rFonts w:ascii="仿宋" w:hAnsi="仿宋" w:eastAsia="仿宋" w:cs="仿宋"/>
                <w:color w:val="000000"/>
                <w:sz w:val="24"/>
              </w:rPr>
            </w:pPr>
          </w:p>
        </w:tc>
        <w:tc>
          <w:tcPr>
            <w:tcW w:w="1395" w:type="dxa"/>
            <w:vMerge w:val="continue"/>
            <w:tcBorders>
              <w:bottom w:val="single" w:color="000000" w:sz="4" w:space="0"/>
              <w:right w:val="single" w:color="000000" w:sz="4" w:space="0"/>
            </w:tcBorders>
            <w:shd w:val="clear" w:color="auto" w:fill="auto"/>
            <w:vAlign w:val="center"/>
          </w:tcPr>
          <w:p w14:paraId="177F047E">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616D6366">
            <w:pPr>
              <w:rPr>
                <w:rFonts w:ascii="仿宋" w:hAnsi="仿宋" w:eastAsia="仿宋" w:cs="仿宋"/>
                <w:color w:val="000000"/>
                <w:sz w:val="28"/>
                <w:szCs w:val="28"/>
              </w:rPr>
            </w:pPr>
          </w:p>
        </w:tc>
      </w:tr>
      <w:tr w14:paraId="2DBB2DD6">
        <w:tblPrEx>
          <w:tblCellMar>
            <w:top w:w="15" w:type="dxa"/>
            <w:left w:w="15" w:type="dxa"/>
            <w:bottom w:w="15" w:type="dxa"/>
            <w:right w:w="15" w:type="dxa"/>
          </w:tblCellMar>
        </w:tblPrEx>
        <w:trPr>
          <w:trHeight w:val="2094"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1C9EC2B8">
            <w:pPr>
              <w:jc w:val="center"/>
              <w:rPr>
                <w:rFonts w:ascii="仿宋" w:hAnsi="仿宋" w:eastAsia="仿宋" w:cs="仿宋"/>
                <w:b/>
                <w:color w:val="000000"/>
                <w:sz w:val="28"/>
                <w:szCs w:val="28"/>
              </w:rPr>
            </w:pPr>
          </w:p>
        </w:tc>
        <w:tc>
          <w:tcPr>
            <w:tcW w:w="1839" w:type="dxa"/>
            <w:tcBorders>
              <w:bottom w:val="single" w:color="000000" w:sz="4" w:space="0"/>
              <w:right w:val="single" w:color="000000" w:sz="4" w:space="0"/>
            </w:tcBorders>
            <w:shd w:val="clear" w:color="auto" w:fill="auto"/>
            <w:vAlign w:val="center"/>
          </w:tcPr>
          <w:p w14:paraId="6266E873">
            <w:pPr>
              <w:widowControl/>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经营管理业绩</w:t>
            </w:r>
          </w:p>
        </w:tc>
        <w:tc>
          <w:tcPr>
            <w:tcW w:w="2814" w:type="dxa"/>
            <w:tcBorders>
              <w:bottom w:val="single" w:color="000000" w:sz="4" w:space="0"/>
              <w:right w:val="single" w:color="000000" w:sz="4" w:space="0"/>
            </w:tcBorders>
            <w:shd w:val="clear" w:color="auto" w:fill="auto"/>
            <w:vAlign w:val="center"/>
          </w:tcPr>
          <w:p w14:paraId="20069044">
            <w:pPr>
              <w:widowControl/>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具有</w:t>
            </w:r>
            <w:r>
              <w:rPr>
                <w:rFonts w:hint="eastAsia" w:ascii="仿宋" w:hAnsi="仿宋" w:eastAsia="仿宋" w:cs="仿宋"/>
                <w:color w:val="000000"/>
                <w:kern w:val="0"/>
                <w:sz w:val="24"/>
                <w:lang w:bidi="ar"/>
              </w:rPr>
              <w:t>同行业经营管理项目</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（提供有效的</w:t>
            </w:r>
            <w:r>
              <w:rPr>
                <w:rFonts w:hint="eastAsia" w:ascii="仿宋" w:hAnsi="仿宋" w:eastAsia="仿宋" w:cs="仿宋"/>
                <w:color w:val="000000"/>
                <w:kern w:val="0"/>
                <w:sz w:val="24"/>
                <w:lang w:val="en-US" w:eastAsia="zh-CN" w:bidi="ar"/>
              </w:rPr>
              <w:t>运营合同</w:t>
            </w:r>
            <w:r>
              <w:rPr>
                <w:rFonts w:hint="eastAsia" w:ascii="仿宋" w:hAnsi="仿宋" w:eastAsia="仿宋" w:cs="仿宋"/>
                <w:color w:val="000000"/>
                <w:kern w:val="0"/>
                <w:sz w:val="24"/>
                <w:lang w:bidi="ar"/>
              </w:rPr>
              <w:t>或现场运营实景照片等材料）</w:t>
            </w:r>
          </w:p>
          <w:p w14:paraId="63E7E3B9">
            <w:pPr>
              <w:widowControl/>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每提供1个业绩得1分，本项目最高分值为5分</w:t>
            </w:r>
          </w:p>
        </w:tc>
        <w:tc>
          <w:tcPr>
            <w:tcW w:w="1395" w:type="dxa"/>
            <w:tcBorders>
              <w:bottom w:val="single" w:color="000000" w:sz="4" w:space="0"/>
              <w:right w:val="single" w:color="000000" w:sz="4" w:space="0"/>
            </w:tcBorders>
            <w:shd w:val="clear" w:color="auto" w:fill="auto"/>
            <w:vAlign w:val="center"/>
          </w:tcPr>
          <w:p w14:paraId="2A3975A8">
            <w:pPr>
              <w:widowControl/>
              <w:jc w:val="center"/>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5</w:t>
            </w:r>
          </w:p>
        </w:tc>
        <w:tc>
          <w:tcPr>
            <w:tcW w:w="1080" w:type="dxa"/>
            <w:tcBorders>
              <w:bottom w:val="single" w:color="000000" w:sz="4" w:space="0"/>
              <w:right w:val="single" w:color="000000" w:sz="4" w:space="0"/>
            </w:tcBorders>
            <w:shd w:val="clear" w:color="auto" w:fill="auto"/>
            <w:vAlign w:val="center"/>
          </w:tcPr>
          <w:p w14:paraId="303DA8D6">
            <w:pPr>
              <w:rPr>
                <w:rFonts w:ascii="仿宋" w:hAnsi="仿宋" w:eastAsia="仿宋" w:cs="仿宋"/>
                <w:color w:val="000000"/>
                <w:sz w:val="28"/>
                <w:szCs w:val="28"/>
              </w:rPr>
            </w:pPr>
          </w:p>
        </w:tc>
      </w:tr>
      <w:tr w14:paraId="6B68B07F">
        <w:tblPrEx>
          <w:tblCellMar>
            <w:top w:w="15" w:type="dxa"/>
            <w:left w:w="15" w:type="dxa"/>
            <w:bottom w:w="15" w:type="dxa"/>
            <w:right w:w="15" w:type="dxa"/>
          </w:tblCellMar>
        </w:tblPrEx>
        <w:trPr>
          <w:trHeight w:val="2006"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57B879B">
            <w:pPr>
              <w:jc w:val="center"/>
              <w:rPr>
                <w:rFonts w:ascii="仿宋" w:hAnsi="仿宋" w:eastAsia="仿宋" w:cs="仿宋"/>
                <w:b/>
                <w:color w:val="000000"/>
                <w:sz w:val="28"/>
                <w:szCs w:val="28"/>
              </w:rPr>
            </w:pPr>
          </w:p>
        </w:tc>
        <w:tc>
          <w:tcPr>
            <w:tcW w:w="1839" w:type="dxa"/>
            <w:tcBorders>
              <w:bottom w:val="single" w:color="000000" w:sz="4" w:space="0"/>
              <w:right w:val="single" w:color="000000" w:sz="4" w:space="0"/>
            </w:tcBorders>
            <w:shd w:val="clear" w:color="auto" w:fill="auto"/>
            <w:vAlign w:val="center"/>
          </w:tcPr>
          <w:p w14:paraId="56D55495">
            <w:pPr>
              <w:widowControl/>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自主研发系统及旗下有自主小程序或APP</w:t>
            </w:r>
          </w:p>
        </w:tc>
        <w:tc>
          <w:tcPr>
            <w:tcW w:w="2814" w:type="dxa"/>
            <w:tcBorders>
              <w:bottom w:val="single" w:color="000000" w:sz="4" w:space="0"/>
              <w:right w:val="single" w:color="000000" w:sz="4" w:space="0"/>
            </w:tcBorders>
            <w:shd w:val="clear" w:color="auto" w:fill="auto"/>
            <w:vAlign w:val="center"/>
          </w:tcPr>
          <w:p w14:paraId="72D19561">
            <w:pPr>
              <w:widowControl/>
              <w:numPr>
                <w:ilvl w:val="0"/>
                <w:numId w:val="2"/>
              </w:numP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投标人自主研发智能柜管理系统，得5分。投标人需提供后台管理访问功能页面、后台功能介绍及国际顶级域名证书。</w:t>
            </w:r>
          </w:p>
          <w:p w14:paraId="1A80DAC1">
            <w:pPr>
              <w:widowControl/>
              <w:numPr>
                <w:ilvl w:val="0"/>
                <w:numId w:val="2"/>
              </w:numPr>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投标人自有智能柜客服端（小程序或APP），得5分。投标人需提供客户端所有者相关证明资料，如微信小程序信息认证页面。</w:t>
            </w:r>
          </w:p>
        </w:tc>
        <w:tc>
          <w:tcPr>
            <w:tcW w:w="1395" w:type="dxa"/>
            <w:tcBorders>
              <w:bottom w:val="single" w:color="000000" w:sz="4" w:space="0"/>
              <w:right w:val="single" w:color="000000" w:sz="4" w:space="0"/>
            </w:tcBorders>
            <w:shd w:val="clear" w:color="auto" w:fill="auto"/>
            <w:vAlign w:val="center"/>
          </w:tcPr>
          <w:p w14:paraId="301E6AED">
            <w:pPr>
              <w:widowControl/>
              <w:jc w:val="center"/>
              <w:textAlignment w:val="center"/>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10</w:t>
            </w:r>
          </w:p>
        </w:tc>
        <w:tc>
          <w:tcPr>
            <w:tcW w:w="1080" w:type="dxa"/>
            <w:tcBorders>
              <w:bottom w:val="single" w:color="000000" w:sz="4" w:space="0"/>
              <w:right w:val="single" w:color="000000" w:sz="4" w:space="0"/>
            </w:tcBorders>
            <w:shd w:val="clear" w:color="auto" w:fill="auto"/>
            <w:vAlign w:val="center"/>
          </w:tcPr>
          <w:p w14:paraId="13CEFC9F">
            <w:pPr>
              <w:rPr>
                <w:rFonts w:ascii="仿宋" w:hAnsi="仿宋" w:eastAsia="仿宋" w:cs="仿宋"/>
                <w:color w:val="000000"/>
                <w:sz w:val="28"/>
                <w:szCs w:val="28"/>
              </w:rPr>
            </w:pPr>
          </w:p>
        </w:tc>
      </w:tr>
      <w:tr w14:paraId="3CCDAD0B">
        <w:tblPrEx>
          <w:tblCellMar>
            <w:top w:w="15" w:type="dxa"/>
            <w:left w:w="15" w:type="dxa"/>
            <w:bottom w:w="15" w:type="dxa"/>
            <w:right w:w="15" w:type="dxa"/>
          </w:tblCellMar>
        </w:tblPrEx>
        <w:trPr>
          <w:trHeight w:val="204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246A3E85">
            <w:pPr>
              <w:jc w:val="center"/>
              <w:rPr>
                <w:rFonts w:ascii="仿宋" w:hAnsi="仿宋" w:eastAsia="仿宋" w:cs="仿宋"/>
                <w:b/>
                <w:color w:val="000000"/>
                <w:sz w:val="28"/>
                <w:szCs w:val="28"/>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382F">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经营管理经验</w:t>
            </w:r>
          </w:p>
        </w:tc>
        <w:tc>
          <w:tcPr>
            <w:tcW w:w="2814" w:type="dxa"/>
            <w:tcBorders>
              <w:top w:val="single" w:color="000000" w:sz="4" w:space="0"/>
              <w:bottom w:val="single" w:color="000000" w:sz="4" w:space="0"/>
              <w:right w:val="single" w:color="000000" w:sz="4" w:space="0"/>
            </w:tcBorders>
            <w:shd w:val="clear" w:color="auto" w:fill="auto"/>
            <w:vAlign w:val="center"/>
          </w:tcPr>
          <w:p w14:paraId="45024A5F">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同行业经营时间超过“投标人基本要求”所要求经验年限</w:t>
            </w:r>
            <w:r>
              <w:rPr>
                <w:rFonts w:hint="eastAsia" w:ascii="仿宋" w:hAnsi="仿宋" w:eastAsia="仿宋" w:cs="仿宋"/>
                <w:color w:val="000000"/>
                <w:kern w:val="0"/>
                <w:sz w:val="24"/>
                <w:lang w:val="en-US" w:eastAsia="zh-CN" w:bidi="ar"/>
              </w:rPr>
              <w:t>3年以上得5分，</w:t>
            </w: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年（含</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年）以上者得</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分；低于1年者，得</w:t>
            </w:r>
            <w:r>
              <w:rPr>
                <w:rFonts w:hint="eastAsia" w:ascii="仿宋" w:hAnsi="仿宋" w:eastAsia="仿宋" w:cs="仿宋"/>
                <w:color w:val="000000"/>
                <w:kern w:val="0"/>
                <w:sz w:val="24"/>
                <w:lang w:val="en-US" w:eastAsia="zh-CN" w:bidi="ar"/>
              </w:rPr>
              <w:t>0</w:t>
            </w:r>
            <w:r>
              <w:rPr>
                <w:rFonts w:hint="eastAsia" w:ascii="仿宋" w:hAnsi="仿宋" w:eastAsia="仿宋" w:cs="仿宋"/>
                <w:color w:val="000000"/>
                <w:kern w:val="0"/>
                <w:sz w:val="24"/>
                <w:lang w:bidi="ar"/>
              </w:rPr>
              <w:t>分；（提供有效的营业执照）</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A143">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38A6">
            <w:pPr>
              <w:rPr>
                <w:rFonts w:ascii="仿宋" w:hAnsi="仿宋" w:eastAsia="仿宋" w:cs="仿宋"/>
                <w:color w:val="000000"/>
                <w:sz w:val="28"/>
                <w:szCs w:val="28"/>
              </w:rPr>
            </w:pPr>
          </w:p>
        </w:tc>
      </w:tr>
      <w:tr w14:paraId="1D25EF45">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140F68C">
            <w:pPr>
              <w:jc w:val="center"/>
              <w:rPr>
                <w:rFonts w:ascii="仿宋" w:hAnsi="仿宋" w:eastAsia="仿宋" w:cs="仿宋"/>
                <w:b/>
                <w:color w:val="000000"/>
                <w:sz w:val="28"/>
                <w:szCs w:val="28"/>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25F9">
            <w:pPr>
              <w:widowControl/>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维修、清洁设备时间</w:t>
            </w:r>
          </w:p>
        </w:tc>
        <w:tc>
          <w:tcPr>
            <w:tcW w:w="2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C83D">
            <w:pPr>
              <w:widowControl/>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承诺承诺全部设备投放点设备故障处理及卫生清洁工作应在24小时以内，得5分；48小时以内得2分，其他情况得0分。</w:t>
            </w:r>
          </w:p>
        </w:tc>
        <w:tc>
          <w:tcPr>
            <w:tcW w:w="1395" w:type="dxa"/>
            <w:tcBorders>
              <w:top w:val="single" w:color="000000" w:sz="4" w:space="0"/>
              <w:bottom w:val="single" w:color="000000" w:sz="4" w:space="0"/>
              <w:right w:val="single" w:color="000000" w:sz="4" w:space="0"/>
            </w:tcBorders>
            <w:shd w:val="clear" w:color="auto" w:fill="auto"/>
            <w:vAlign w:val="center"/>
          </w:tcPr>
          <w:p w14:paraId="78366B19">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5</w:t>
            </w:r>
          </w:p>
        </w:tc>
        <w:tc>
          <w:tcPr>
            <w:tcW w:w="1080" w:type="dxa"/>
            <w:tcBorders>
              <w:top w:val="single" w:color="000000" w:sz="4" w:space="0"/>
              <w:bottom w:val="single" w:color="000000" w:sz="4" w:space="0"/>
              <w:right w:val="single" w:color="000000" w:sz="4" w:space="0"/>
            </w:tcBorders>
            <w:shd w:val="clear" w:color="auto" w:fill="auto"/>
            <w:vAlign w:val="center"/>
          </w:tcPr>
          <w:p w14:paraId="6DD4C49A">
            <w:pPr>
              <w:rPr>
                <w:rFonts w:ascii="仿宋" w:hAnsi="仿宋" w:eastAsia="仿宋" w:cs="仿宋"/>
                <w:color w:val="000000"/>
                <w:sz w:val="28"/>
                <w:szCs w:val="28"/>
              </w:rPr>
            </w:pPr>
          </w:p>
        </w:tc>
      </w:tr>
      <w:tr w14:paraId="6F2406A6">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06B77D58">
            <w:pPr>
              <w:jc w:val="center"/>
              <w:rPr>
                <w:rFonts w:ascii="仿宋" w:hAnsi="仿宋" w:eastAsia="仿宋" w:cs="仿宋"/>
                <w:b/>
                <w:color w:val="000000"/>
                <w:sz w:val="28"/>
                <w:szCs w:val="28"/>
              </w:rPr>
            </w:pPr>
          </w:p>
        </w:tc>
        <w:tc>
          <w:tcPr>
            <w:tcW w:w="1839" w:type="dxa"/>
            <w:vMerge w:val="restart"/>
            <w:tcBorders>
              <w:top w:val="single" w:color="000000" w:sz="4" w:space="0"/>
              <w:bottom w:val="single" w:color="000000" w:sz="4" w:space="0"/>
              <w:right w:val="single" w:color="000000" w:sz="4" w:space="0"/>
            </w:tcBorders>
            <w:shd w:val="clear" w:color="auto" w:fill="auto"/>
            <w:vAlign w:val="center"/>
          </w:tcPr>
          <w:p w14:paraId="1D1B5D66">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项目投资金额</w:t>
            </w:r>
          </w:p>
        </w:tc>
        <w:tc>
          <w:tcPr>
            <w:tcW w:w="2814" w:type="dxa"/>
            <w:tcBorders>
              <w:top w:val="single" w:color="000000" w:sz="4" w:space="0"/>
              <w:right w:val="single" w:color="000000" w:sz="4" w:space="0"/>
            </w:tcBorders>
            <w:shd w:val="clear" w:color="auto" w:fill="auto"/>
            <w:vAlign w:val="center"/>
          </w:tcPr>
          <w:p w14:paraId="00AF5C6B">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评委根据投标人承诺投入项目的价值金额、配置合理情况，横向对比后给予评分，最高不超过</w:t>
            </w:r>
            <w:r>
              <w:rPr>
                <w:rFonts w:hint="eastAsia" w:ascii="仿宋" w:hAnsi="仿宋" w:eastAsia="仿宋" w:cs="仿宋"/>
                <w:color w:val="000000"/>
                <w:kern w:val="0"/>
                <w:sz w:val="24"/>
                <w:lang w:val="en-US" w:eastAsia="zh-CN" w:bidi="ar"/>
              </w:rPr>
              <w:t>10</w:t>
            </w:r>
            <w:r>
              <w:rPr>
                <w:rFonts w:hint="eastAsia" w:ascii="仿宋" w:hAnsi="仿宋" w:eastAsia="仿宋" w:cs="仿宋"/>
                <w:color w:val="000000"/>
                <w:kern w:val="0"/>
                <w:sz w:val="24"/>
                <w:lang w:bidi="ar"/>
              </w:rPr>
              <w:t>分。</w:t>
            </w:r>
          </w:p>
        </w:tc>
        <w:tc>
          <w:tcPr>
            <w:tcW w:w="1395" w:type="dxa"/>
            <w:vMerge w:val="restart"/>
            <w:tcBorders>
              <w:bottom w:val="single" w:color="000000" w:sz="4" w:space="0"/>
              <w:right w:val="single" w:color="000000" w:sz="4" w:space="0"/>
            </w:tcBorders>
            <w:shd w:val="clear" w:color="auto" w:fill="auto"/>
            <w:vAlign w:val="center"/>
          </w:tcPr>
          <w:p w14:paraId="1BFE669A">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080" w:type="dxa"/>
            <w:vMerge w:val="restart"/>
            <w:tcBorders>
              <w:bottom w:val="single" w:color="000000" w:sz="4" w:space="0"/>
              <w:right w:val="single" w:color="000000" w:sz="4" w:space="0"/>
            </w:tcBorders>
            <w:shd w:val="clear" w:color="auto" w:fill="auto"/>
            <w:vAlign w:val="center"/>
          </w:tcPr>
          <w:p w14:paraId="092785A6">
            <w:pPr>
              <w:rPr>
                <w:rFonts w:ascii="仿宋" w:hAnsi="仿宋" w:eastAsia="仿宋" w:cs="仿宋"/>
                <w:color w:val="000000"/>
                <w:sz w:val="28"/>
                <w:szCs w:val="28"/>
              </w:rPr>
            </w:pPr>
          </w:p>
        </w:tc>
      </w:tr>
      <w:tr w14:paraId="374E4729">
        <w:tblPrEx>
          <w:tblCellMar>
            <w:top w:w="15" w:type="dxa"/>
            <w:left w:w="15" w:type="dxa"/>
            <w:bottom w:w="15" w:type="dxa"/>
            <w:right w:w="15" w:type="dxa"/>
          </w:tblCellMar>
        </w:tblPrEx>
        <w:trPr>
          <w:trHeight w:val="177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BEB3D0F">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6BBA6228">
            <w:pPr>
              <w:rPr>
                <w:rFonts w:ascii="仿宋" w:hAnsi="仿宋" w:eastAsia="仿宋" w:cs="仿宋"/>
                <w:color w:val="000000"/>
                <w:sz w:val="28"/>
                <w:szCs w:val="28"/>
              </w:rPr>
            </w:pPr>
          </w:p>
        </w:tc>
        <w:tc>
          <w:tcPr>
            <w:tcW w:w="2814" w:type="dxa"/>
            <w:tcBorders>
              <w:bottom w:val="single" w:color="000000" w:sz="4" w:space="0"/>
              <w:right w:val="single" w:color="000000" w:sz="4" w:space="0"/>
            </w:tcBorders>
            <w:shd w:val="clear" w:color="auto" w:fill="auto"/>
            <w:vAlign w:val="center"/>
          </w:tcPr>
          <w:p w14:paraId="05EF24EF">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注：项目投入金额需投标人在投标文件中明确承诺，并经专家组认定是否客观、真实和合理。</w:t>
            </w:r>
            <w:r>
              <w:rPr>
                <w:rFonts w:hint="eastAsia" w:ascii="仿宋" w:hAnsi="仿宋" w:eastAsia="仿宋" w:cs="仿宋"/>
                <w:color w:val="FF0000"/>
                <w:kern w:val="0"/>
                <w:sz w:val="24"/>
                <w:lang w:bidi="ar"/>
              </w:rPr>
              <w:t>（如投入实用性的高新科技设备，则专家酌情加分）</w:t>
            </w:r>
          </w:p>
        </w:tc>
        <w:tc>
          <w:tcPr>
            <w:tcW w:w="1395" w:type="dxa"/>
            <w:vMerge w:val="continue"/>
            <w:tcBorders>
              <w:bottom w:val="single" w:color="000000" w:sz="4" w:space="0"/>
              <w:right w:val="single" w:color="000000" w:sz="4" w:space="0"/>
            </w:tcBorders>
            <w:shd w:val="clear" w:color="auto" w:fill="auto"/>
            <w:vAlign w:val="center"/>
          </w:tcPr>
          <w:p w14:paraId="381F88ED">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27D6404A">
            <w:pPr>
              <w:rPr>
                <w:rFonts w:ascii="仿宋" w:hAnsi="仿宋" w:eastAsia="仿宋" w:cs="仿宋"/>
                <w:color w:val="000000"/>
                <w:sz w:val="28"/>
                <w:szCs w:val="28"/>
              </w:rPr>
            </w:pPr>
          </w:p>
        </w:tc>
      </w:tr>
      <w:tr w14:paraId="04E71285">
        <w:tblPrEx>
          <w:tblCellMar>
            <w:top w:w="15" w:type="dxa"/>
            <w:left w:w="15" w:type="dxa"/>
            <w:bottom w:w="15" w:type="dxa"/>
            <w:right w:w="15" w:type="dxa"/>
          </w:tblCellMar>
        </w:tblPrEx>
        <w:trPr>
          <w:trHeight w:val="600" w:hRule="atLeast"/>
        </w:trPr>
        <w:tc>
          <w:tcPr>
            <w:tcW w:w="1482" w:type="dxa"/>
            <w:vMerge w:val="restart"/>
            <w:tcBorders>
              <w:left w:val="single" w:color="000000" w:sz="4" w:space="0"/>
              <w:bottom w:val="single" w:color="000000" w:sz="4" w:space="0"/>
              <w:right w:val="single" w:color="000000" w:sz="4" w:space="0"/>
            </w:tcBorders>
            <w:shd w:val="clear" w:color="auto" w:fill="auto"/>
            <w:vAlign w:val="center"/>
          </w:tcPr>
          <w:p w14:paraId="32894A48">
            <w:pPr>
              <w:widowControl/>
              <w:jc w:val="center"/>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技术分</w:t>
            </w:r>
          </w:p>
          <w:p w14:paraId="639915CF">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val="en-US" w:eastAsia="zh-CN" w:bidi="ar"/>
              </w:rPr>
              <w:t>45</w:t>
            </w:r>
            <w:r>
              <w:rPr>
                <w:rFonts w:hint="eastAsia" w:ascii="仿宋" w:hAnsi="仿宋" w:eastAsia="仿宋" w:cs="仿宋"/>
                <w:b/>
                <w:color w:val="000000"/>
                <w:kern w:val="0"/>
                <w:sz w:val="28"/>
                <w:szCs w:val="28"/>
                <w:lang w:bidi="ar"/>
              </w:rPr>
              <w:t>分</w:t>
            </w:r>
          </w:p>
        </w:tc>
        <w:tc>
          <w:tcPr>
            <w:tcW w:w="1839" w:type="dxa"/>
            <w:vMerge w:val="restart"/>
            <w:tcBorders>
              <w:bottom w:val="single" w:color="000000" w:sz="4" w:space="0"/>
              <w:right w:val="single" w:color="000000" w:sz="4" w:space="0"/>
            </w:tcBorders>
            <w:shd w:val="clear" w:color="auto" w:fill="auto"/>
            <w:vAlign w:val="center"/>
          </w:tcPr>
          <w:p w14:paraId="613638ED">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日常管理方案</w:t>
            </w:r>
          </w:p>
        </w:tc>
        <w:tc>
          <w:tcPr>
            <w:tcW w:w="2814" w:type="dxa"/>
            <w:tcBorders>
              <w:right w:val="single" w:color="000000" w:sz="4" w:space="0"/>
            </w:tcBorders>
            <w:shd w:val="clear" w:color="auto" w:fill="auto"/>
            <w:vAlign w:val="center"/>
          </w:tcPr>
          <w:p w14:paraId="3A71FC78">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投标文件中含以下管理方案或内容的，横向对比后，方案较为合理者，得对应分数：</w:t>
            </w:r>
          </w:p>
        </w:tc>
        <w:tc>
          <w:tcPr>
            <w:tcW w:w="1395" w:type="dxa"/>
            <w:vMerge w:val="restart"/>
            <w:tcBorders>
              <w:bottom w:val="single" w:color="000000" w:sz="4" w:space="0"/>
              <w:right w:val="single" w:color="000000" w:sz="4" w:space="0"/>
            </w:tcBorders>
            <w:shd w:val="clear" w:color="auto" w:fill="auto"/>
            <w:vAlign w:val="center"/>
          </w:tcPr>
          <w:p w14:paraId="6B4921A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1080" w:type="dxa"/>
            <w:vMerge w:val="restart"/>
            <w:tcBorders>
              <w:bottom w:val="single" w:color="000000" w:sz="4" w:space="0"/>
              <w:right w:val="single" w:color="000000" w:sz="4" w:space="0"/>
            </w:tcBorders>
            <w:shd w:val="clear" w:color="auto" w:fill="auto"/>
            <w:vAlign w:val="center"/>
          </w:tcPr>
          <w:p w14:paraId="490721B8">
            <w:pPr>
              <w:rPr>
                <w:rFonts w:ascii="仿宋" w:hAnsi="仿宋" w:eastAsia="仿宋" w:cs="仿宋"/>
                <w:color w:val="000000"/>
                <w:sz w:val="28"/>
                <w:szCs w:val="28"/>
              </w:rPr>
            </w:pPr>
          </w:p>
        </w:tc>
      </w:tr>
      <w:tr w14:paraId="35681FDE">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676A231F">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15102B2C">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16AD28B9">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1、投入设备和相应服务对学校师生免费提供者，最高得6分；</w:t>
            </w:r>
          </w:p>
        </w:tc>
        <w:tc>
          <w:tcPr>
            <w:tcW w:w="1395" w:type="dxa"/>
            <w:vMerge w:val="continue"/>
            <w:tcBorders>
              <w:bottom w:val="single" w:color="000000" w:sz="4" w:space="0"/>
              <w:right w:val="single" w:color="000000" w:sz="4" w:space="0"/>
            </w:tcBorders>
            <w:shd w:val="clear" w:color="auto" w:fill="auto"/>
            <w:vAlign w:val="center"/>
          </w:tcPr>
          <w:p w14:paraId="41B3030B">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710215C4">
            <w:pPr>
              <w:rPr>
                <w:rFonts w:ascii="仿宋" w:hAnsi="仿宋" w:eastAsia="仿宋" w:cs="仿宋"/>
                <w:color w:val="000000"/>
                <w:sz w:val="28"/>
                <w:szCs w:val="28"/>
              </w:rPr>
            </w:pPr>
          </w:p>
        </w:tc>
      </w:tr>
      <w:tr w14:paraId="76E5254D">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20ADB5B3">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3EA504E5">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5B9AA251">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2、本项目设备安装、货物储藏保障方案，最高得</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分；</w:t>
            </w:r>
          </w:p>
        </w:tc>
        <w:tc>
          <w:tcPr>
            <w:tcW w:w="1395" w:type="dxa"/>
            <w:vMerge w:val="continue"/>
            <w:tcBorders>
              <w:bottom w:val="single" w:color="000000" w:sz="4" w:space="0"/>
              <w:right w:val="single" w:color="000000" w:sz="4" w:space="0"/>
            </w:tcBorders>
            <w:shd w:val="clear" w:color="auto" w:fill="auto"/>
            <w:vAlign w:val="center"/>
          </w:tcPr>
          <w:p w14:paraId="0BF1F99A">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4ABFFAA4">
            <w:pPr>
              <w:rPr>
                <w:rFonts w:ascii="仿宋" w:hAnsi="仿宋" w:eastAsia="仿宋" w:cs="仿宋"/>
                <w:color w:val="000000"/>
                <w:sz w:val="28"/>
                <w:szCs w:val="28"/>
              </w:rPr>
            </w:pPr>
          </w:p>
        </w:tc>
      </w:tr>
      <w:tr w14:paraId="3229AE3C">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FF88F1C">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67332BAE">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04EBF375">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3、防食物中毒事件发生方案，得</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w:t>
            </w:r>
          </w:p>
        </w:tc>
        <w:tc>
          <w:tcPr>
            <w:tcW w:w="1395" w:type="dxa"/>
            <w:vMerge w:val="continue"/>
            <w:tcBorders>
              <w:bottom w:val="single" w:color="000000" w:sz="4" w:space="0"/>
              <w:right w:val="single" w:color="000000" w:sz="4" w:space="0"/>
            </w:tcBorders>
            <w:shd w:val="clear" w:color="auto" w:fill="auto"/>
            <w:vAlign w:val="center"/>
          </w:tcPr>
          <w:p w14:paraId="7D8023D9">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665B099D">
            <w:pPr>
              <w:rPr>
                <w:rFonts w:ascii="仿宋" w:hAnsi="仿宋" w:eastAsia="仿宋" w:cs="仿宋"/>
                <w:color w:val="000000"/>
                <w:sz w:val="28"/>
                <w:szCs w:val="28"/>
              </w:rPr>
            </w:pPr>
          </w:p>
        </w:tc>
      </w:tr>
      <w:tr w14:paraId="25489D24">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FBE3FE5">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52C41A7D">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7EBED52E">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4、机器设备日常中的维护方案，得2分；</w:t>
            </w:r>
          </w:p>
        </w:tc>
        <w:tc>
          <w:tcPr>
            <w:tcW w:w="1395" w:type="dxa"/>
            <w:vMerge w:val="continue"/>
            <w:tcBorders>
              <w:bottom w:val="single" w:color="000000" w:sz="4" w:space="0"/>
              <w:right w:val="single" w:color="000000" w:sz="4" w:space="0"/>
            </w:tcBorders>
            <w:shd w:val="clear" w:color="auto" w:fill="auto"/>
            <w:vAlign w:val="center"/>
          </w:tcPr>
          <w:p w14:paraId="7D085F58">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5B6E4735">
            <w:pPr>
              <w:rPr>
                <w:rFonts w:ascii="仿宋" w:hAnsi="仿宋" w:eastAsia="仿宋" w:cs="仿宋"/>
                <w:color w:val="000000"/>
                <w:sz w:val="28"/>
                <w:szCs w:val="28"/>
              </w:rPr>
            </w:pPr>
          </w:p>
        </w:tc>
      </w:tr>
      <w:tr w14:paraId="012273A8">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0F4B37A1">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3C225437">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50905EF4">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5、对消费者投诉处理方案，得</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w:t>
            </w:r>
          </w:p>
        </w:tc>
        <w:tc>
          <w:tcPr>
            <w:tcW w:w="1395" w:type="dxa"/>
            <w:vMerge w:val="continue"/>
            <w:tcBorders>
              <w:bottom w:val="single" w:color="000000" w:sz="4" w:space="0"/>
              <w:right w:val="single" w:color="000000" w:sz="4" w:space="0"/>
            </w:tcBorders>
            <w:shd w:val="clear" w:color="auto" w:fill="auto"/>
            <w:vAlign w:val="center"/>
          </w:tcPr>
          <w:p w14:paraId="3BDB8919">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3ABFCB00">
            <w:pPr>
              <w:rPr>
                <w:rFonts w:ascii="仿宋" w:hAnsi="仿宋" w:eastAsia="仿宋" w:cs="仿宋"/>
                <w:color w:val="000000"/>
                <w:sz w:val="28"/>
                <w:szCs w:val="28"/>
              </w:rPr>
            </w:pPr>
          </w:p>
        </w:tc>
      </w:tr>
      <w:tr w14:paraId="542A1045">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1A0AE4B4">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4D469564">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5B7930CB">
            <w:pPr>
              <w:widowControl/>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、机器电子显示屏广告投放管理方案，得2分；</w:t>
            </w:r>
          </w:p>
        </w:tc>
        <w:tc>
          <w:tcPr>
            <w:tcW w:w="1395" w:type="dxa"/>
            <w:vMerge w:val="continue"/>
            <w:tcBorders>
              <w:bottom w:val="single" w:color="000000" w:sz="4" w:space="0"/>
              <w:right w:val="single" w:color="000000" w:sz="4" w:space="0"/>
            </w:tcBorders>
            <w:shd w:val="clear" w:color="auto" w:fill="auto"/>
            <w:vAlign w:val="center"/>
          </w:tcPr>
          <w:p w14:paraId="7A9A064B">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4810E311">
            <w:pPr>
              <w:rPr>
                <w:rFonts w:ascii="仿宋" w:hAnsi="仿宋" w:eastAsia="仿宋" w:cs="仿宋"/>
                <w:color w:val="000000"/>
                <w:sz w:val="28"/>
                <w:szCs w:val="28"/>
              </w:rPr>
            </w:pPr>
          </w:p>
        </w:tc>
      </w:tr>
      <w:tr w14:paraId="0C6DB762">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0A2A030B">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77905F21">
            <w:pPr>
              <w:rPr>
                <w:rFonts w:ascii="仿宋" w:hAnsi="仿宋" w:eastAsia="仿宋" w:cs="仿宋"/>
                <w:color w:val="000000"/>
                <w:sz w:val="28"/>
                <w:szCs w:val="28"/>
              </w:rPr>
            </w:pPr>
          </w:p>
        </w:tc>
        <w:tc>
          <w:tcPr>
            <w:tcW w:w="2814" w:type="dxa"/>
            <w:tcBorders>
              <w:right w:val="single" w:color="000000" w:sz="4" w:space="0"/>
            </w:tcBorders>
            <w:shd w:val="clear" w:color="auto" w:fill="auto"/>
            <w:vAlign w:val="center"/>
          </w:tcPr>
          <w:p w14:paraId="68300AEF">
            <w:pPr>
              <w:widowControl/>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方案不合理的，或没有提出相应方案者，各得0分。</w:t>
            </w:r>
          </w:p>
        </w:tc>
        <w:tc>
          <w:tcPr>
            <w:tcW w:w="1395" w:type="dxa"/>
            <w:vMerge w:val="continue"/>
            <w:tcBorders>
              <w:bottom w:val="single" w:color="000000" w:sz="4" w:space="0"/>
              <w:right w:val="single" w:color="000000" w:sz="4" w:space="0"/>
            </w:tcBorders>
            <w:shd w:val="clear" w:color="auto" w:fill="auto"/>
            <w:vAlign w:val="center"/>
          </w:tcPr>
          <w:p w14:paraId="0BF19748">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0221C4CF">
            <w:pPr>
              <w:rPr>
                <w:rFonts w:ascii="仿宋" w:hAnsi="仿宋" w:eastAsia="仿宋" w:cs="仿宋"/>
                <w:color w:val="000000"/>
                <w:sz w:val="28"/>
                <w:szCs w:val="28"/>
              </w:rPr>
            </w:pPr>
          </w:p>
        </w:tc>
      </w:tr>
      <w:tr w14:paraId="73C916FF">
        <w:tblPrEx>
          <w:tblCellMar>
            <w:top w:w="15" w:type="dxa"/>
            <w:left w:w="15" w:type="dxa"/>
            <w:bottom w:w="15" w:type="dxa"/>
            <w:right w:w="15" w:type="dxa"/>
          </w:tblCellMar>
        </w:tblPrEx>
        <w:trPr>
          <w:trHeight w:val="122"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217B38E7">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4262B015">
            <w:pPr>
              <w:rPr>
                <w:rFonts w:ascii="仿宋" w:hAnsi="仿宋" w:eastAsia="仿宋" w:cs="仿宋"/>
                <w:color w:val="000000"/>
                <w:sz w:val="28"/>
                <w:szCs w:val="28"/>
              </w:rPr>
            </w:pPr>
          </w:p>
        </w:tc>
        <w:tc>
          <w:tcPr>
            <w:tcW w:w="2814" w:type="dxa"/>
            <w:tcBorders>
              <w:bottom w:val="single" w:color="000000" w:sz="4" w:space="0"/>
              <w:right w:val="single" w:color="000000" w:sz="4" w:space="0"/>
            </w:tcBorders>
            <w:shd w:val="clear" w:color="auto" w:fill="auto"/>
            <w:vAlign w:val="center"/>
          </w:tcPr>
          <w:p w14:paraId="781AF65F">
            <w:pPr>
              <w:widowControl/>
              <w:textAlignment w:val="center"/>
              <w:rPr>
                <w:rFonts w:ascii="仿宋" w:hAnsi="仿宋" w:eastAsia="仿宋" w:cs="仿宋"/>
                <w:color w:val="000000"/>
                <w:sz w:val="24"/>
              </w:rPr>
            </w:pPr>
          </w:p>
        </w:tc>
        <w:tc>
          <w:tcPr>
            <w:tcW w:w="1395" w:type="dxa"/>
            <w:vMerge w:val="continue"/>
            <w:tcBorders>
              <w:bottom w:val="single" w:color="000000" w:sz="4" w:space="0"/>
              <w:right w:val="single" w:color="000000" w:sz="4" w:space="0"/>
            </w:tcBorders>
            <w:shd w:val="clear" w:color="auto" w:fill="auto"/>
            <w:vAlign w:val="center"/>
          </w:tcPr>
          <w:p w14:paraId="2E57AD89">
            <w:pPr>
              <w:jc w:val="center"/>
              <w:rPr>
                <w:rFonts w:ascii="仿宋" w:hAnsi="仿宋" w:eastAsia="仿宋" w:cs="仿宋"/>
                <w:color w:val="000000"/>
                <w:sz w:val="28"/>
                <w:szCs w:val="28"/>
              </w:rPr>
            </w:pPr>
          </w:p>
        </w:tc>
        <w:tc>
          <w:tcPr>
            <w:tcW w:w="1080" w:type="dxa"/>
            <w:vMerge w:val="continue"/>
            <w:tcBorders>
              <w:bottom w:val="single" w:color="000000" w:sz="4" w:space="0"/>
              <w:right w:val="single" w:color="000000" w:sz="4" w:space="0"/>
            </w:tcBorders>
            <w:shd w:val="clear" w:color="auto" w:fill="auto"/>
            <w:vAlign w:val="center"/>
          </w:tcPr>
          <w:p w14:paraId="4C800B55">
            <w:pPr>
              <w:rPr>
                <w:rFonts w:ascii="仿宋" w:hAnsi="仿宋" w:eastAsia="仿宋" w:cs="仿宋"/>
                <w:color w:val="000000"/>
                <w:sz w:val="28"/>
                <w:szCs w:val="28"/>
              </w:rPr>
            </w:pPr>
          </w:p>
        </w:tc>
      </w:tr>
      <w:tr w14:paraId="34A77A2F">
        <w:tblPrEx>
          <w:tblCellMar>
            <w:top w:w="15" w:type="dxa"/>
            <w:left w:w="15" w:type="dxa"/>
            <w:bottom w:w="15" w:type="dxa"/>
            <w:right w:w="15" w:type="dxa"/>
          </w:tblCellMar>
        </w:tblPrEx>
        <w:trPr>
          <w:trHeight w:val="495"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97263B6">
            <w:pPr>
              <w:jc w:val="center"/>
              <w:rPr>
                <w:rFonts w:ascii="仿宋" w:hAnsi="仿宋" w:eastAsia="仿宋" w:cs="仿宋"/>
                <w:b/>
                <w:color w:val="000000"/>
                <w:sz w:val="28"/>
                <w:szCs w:val="28"/>
              </w:rPr>
            </w:pPr>
          </w:p>
        </w:tc>
        <w:tc>
          <w:tcPr>
            <w:tcW w:w="1839" w:type="dxa"/>
            <w:vMerge w:val="restart"/>
            <w:tcBorders>
              <w:bottom w:val="single" w:color="000000" w:sz="4" w:space="0"/>
              <w:right w:val="single" w:color="000000" w:sz="4" w:space="0"/>
            </w:tcBorders>
            <w:shd w:val="clear" w:color="auto" w:fill="auto"/>
            <w:vAlign w:val="center"/>
          </w:tcPr>
          <w:p w14:paraId="37728E7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整体规划方案</w:t>
            </w:r>
          </w:p>
        </w:tc>
        <w:tc>
          <w:tcPr>
            <w:tcW w:w="2814" w:type="dxa"/>
            <w:tcBorders>
              <w:bottom w:val="single" w:color="000000" w:sz="4" w:space="0"/>
              <w:right w:val="single" w:color="000000" w:sz="4" w:space="0"/>
            </w:tcBorders>
            <w:shd w:val="clear" w:color="auto" w:fill="auto"/>
            <w:vAlign w:val="center"/>
          </w:tcPr>
          <w:p w14:paraId="5E7BA4D4">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管理方案整体规划合理性，规划智能存储规范管理思路和具体可行性方案，横向对比后，方案较为合理者，得对应分数，最高得分</w:t>
            </w:r>
            <w:r>
              <w:rPr>
                <w:rFonts w:hint="eastAsia" w:ascii="仿宋" w:hAnsi="仿宋" w:eastAsia="仿宋" w:cs="仿宋"/>
                <w:color w:val="000000"/>
                <w:kern w:val="0"/>
                <w:sz w:val="24"/>
                <w:lang w:val="en-US" w:eastAsia="zh-CN" w:bidi="ar"/>
              </w:rPr>
              <w:t>15</w:t>
            </w:r>
            <w:r>
              <w:rPr>
                <w:rFonts w:hint="eastAsia" w:ascii="仿宋" w:hAnsi="仿宋" w:eastAsia="仿宋" w:cs="仿宋"/>
                <w:color w:val="000000"/>
                <w:kern w:val="0"/>
                <w:sz w:val="24"/>
                <w:lang w:bidi="ar"/>
              </w:rPr>
              <w:t>分；</w:t>
            </w:r>
          </w:p>
        </w:tc>
        <w:tc>
          <w:tcPr>
            <w:tcW w:w="1395" w:type="dxa"/>
            <w:vMerge w:val="restart"/>
            <w:tcBorders>
              <w:bottom w:val="single" w:color="000000" w:sz="4" w:space="0"/>
              <w:right w:val="single" w:color="000000" w:sz="4" w:space="0"/>
            </w:tcBorders>
            <w:shd w:val="clear" w:color="auto" w:fill="auto"/>
            <w:vAlign w:val="center"/>
          </w:tcPr>
          <w:p w14:paraId="73C89858">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lang w:val="en-US" w:eastAsia="zh-CN" w:bidi="ar"/>
              </w:rPr>
              <w:t>25</w:t>
            </w:r>
          </w:p>
        </w:tc>
        <w:tc>
          <w:tcPr>
            <w:tcW w:w="1080" w:type="dxa"/>
            <w:tcBorders>
              <w:bottom w:val="single" w:color="000000" w:sz="4" w:space="0"/>
              <w:right w:val="single" w:color="000000" w:sz="4" w:space="0"/>
            </w:tcBorders>
            <w:shd w:val="clear" w:color="auto" w:fill="auto"/>
            <w:vAlign w:val="center"/>
          </w:tcPr>
          <w:p w14:paraId="52583CFA">
            <w:pPr>
              <w:rPr>
                <w:rFonts w:ascii="仿宋" w:hAnsi="仿宋" w:eastAsia="仿宋" w:cs="仿宋"/>
                <w:color w:val="000000"/>
                <w:sz w:val="28"/>
                <w:szCs w:val="28"/>
              </w:rPr>
            </w:pPr>
          </w:p>
        </w:tc>
      </w:tr>
      <w:tr w14:paraId="35EBA645">
        <w:tblPrEx>
          <w:tblCellMar>
            <w:top w:w="15" w:type="dxa"/>
            <w:left w:w="15" w:type="dxa"/>
            <w:bottom w:w="15" w:type="dxa"/>
            <w:right w:w="15" w:type="dxa"/>
          </w:tblCellMar>
        </w:tblPrEx>
        <w:trPr>
          <w:trHeight w:val="989"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10D769BB">
            <w:pPr>
              <w:jc w:val="center"/>
              <w:rPr>
                <w:rFonts w:ascii="仿宋" w:hAnsi="仿宋" w:eastAsia="仿宋" w:cs="仿宋"/>
                <w:b/>
                <w:color w:val="000000"/>
                <w:sz w:val="28"/>
                <w:szCs w:val="28"/>
              </w:rPr>
            </w:pPr>
          </w:p>
        </w:tc>
        <w:tc>
          <w:tcPr>
            <w:tcW w:w="1839" w:type="dxa"/>
            <w:vMerge w:val="continue"/>
            <w:tcBorders>
              <w:bottom w:val="single" w:color="000000" w:sz="4" w:space="0"/>
              <w:right w:val="single" w:color="000000" w:sz="4" w:space="0"/>
            </w:tcBorders>
            <w:shd w:val="clear" w:color="auto" w:fill="auto"/>
            <w:vAlign w:val="center"/>
          </w:tcPr>
          <w:p w14:paraId="46CBF2C9">
            <w:pPr>
              <w:jc w:val="center"/>
              <w:rPr>
                <w:rFonts w:ascii="仿宋" w:hAnsi="仿宋" w:eastAsia="仿宋" w:cs="仿宋"/>
                <w:color w:val="000000"/>
                <w:sz w:val="28"/>
                <w:szCs w:val="28"/>
              </w:rPr>
            </w:pPr>
          </w:p>
        </w:tc>
        <w:tc>
          <w:tcPr>
            <w:tcW w:w="2814" w:type="dxa"/>
            <w:tcBorders>
              <w:bottom w:val="single" w:color="000000" w:sz="4" w:space="0"/>
              <w:right w:val="single" w:color="000000" w:sz="4" w:space="0"/>
            </w:tcBorders>
            <w:shd w:val="clear" w:color="auto" w:fill="auto"/>
            <w:vAlign w:val="center"/>
          </w:tcPr>
          <w:p w14:paraId="13F944D7">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积极响应校园管理应急方案，最高得</w:t>
            </w:r>
            <w:r>
              <w:rPr>
                <w:rFonts w:hint="eastAsia" w:ascii="仿宋" w:hAnsi="仿宋" w:eastAsia="仿宋" w:cs="仿宋"/>
                <w:color w:val="000000"/>
                <w:kern w:val="0"/>
                <w:sz w:val="24"/>
                <w:lang w:val="en-US" w:eastAsia="zh-CN" w:bidi="ar"/>
              </w:rPr>
              <w:t>10</w:t>
            </w:r>
            <w:r>
              <w:rPr>
                <w:rFonts w:hint="eastAsia" w:ascii="仿宋" w:hAnsi="仿宋" w:eastAsia="仿宋" w:cs="仿宋"/>
                <w:color w:val="000000"/>
                <w:kern w:val="0"/>
                <w:sz w:val="24"/>
                <w:lang w:bidi="ar"/>
              </w:rPr>
              <w:t>分。</w:t>
            </w:r>
          </w:p>
        </w:tc>
        <w:tc>
          <w:tcPr>
            <w:tcW w:w="1395" w:type="dxa"/>
            <w:vMerge w:val="continue"/>
            <w:tcBorders>
              <w:bottom w:val="single" w:color="000000" w:sz="4" w:space="0"/>
              <w:right w:val="single" w:color="000000" w:sz="4" w:space="0"/>
            </w:tcBorders>
            <w:shd w:val="clear" w:color="auto" w:fill="auto"/>
            <w:vAlign w:val="center"/>
          </w:tcPr>
          <w:p w14:paraId="39C7796F">
            <w:pPr>
              <w:jc w:val="center"/>
              <w:rPr>
                <w:rFonts w:ascii="仿宋" w:hAnsi="仿宋" w:eastAsia="仿宋" w:cs="仿宋"/>
                <w:color w:val="000000"/>
                <w:sz w:val="28"/>
                <w:szCs w:val="28"/>
              </w:rPr>
            </w:pPr>
          </w:p>
        </w:tc>
        <w:tc>
          <w:tcPr>
            <w:tcW w:w="1080" w:type="dxa"/>
            <w:tcBorders>
              <w:bottom w:val="single" w:color="000000" w:sz="4" w:space="0"/>
              <w:right w:val="single" w:color="000000" w:sz="4" w:space="0"/>
            </w:tcBorders>
            <w:shd w:val="clear" w:color="auto" w:fill="auto"/>
            <w:vAlign w:val="center"/>
          </w:tcPr>
          <w:p w14:paraId="6EAF6917">
            <w:pPr>
              <w:rPr>
                <w:rFonts w:ascii="仿宋" w:hAnsi="仿宋" w:eastAsia="仿宋" w:cs="仿宋"/>
                <w:color w:val="000000"/>
                <w:sz w:val="28"/>
                <w:szCs w:val="28"/>
              </w:rPr>
            </w:pPr>
          </w:p>
        </w:tc>
      </w:tr>
      <w:tr w14:paraId="01DD9212">
        <w:tblPrEx>
          <w:tblCellMar>
            <w:top w:w="15" w:type="dxa"/>
            <w:left w:w="15" w:type="dxa"/>
            <w:bottom w:w="15" w:type="dxa"/>
            <w:right w:w="15" w:type="dxa"/>
          </w:tblCellMar>
        </w:tblPrEx>
        <w:trPr>
          <w:trHeight w:val="600" w:hRule="atLeast"/>
        </w:trPr>
        <w:tc>
          <w:tcPr>
            <w:tcW w:w="1482" w:type="dxa"/>
            <w:vMerge w:val="restart"/>
            <w:tcBorders>
              <w:left w:val="single" w:color="000000" w:sz="4" w:space="0"/>
              <w:bottom w:val="single" w:color="000000" w:sz="4" w:space="0"/>
              <w:right w:val="single" w:color="000000" w:sz="4" w:space="0"/>
            </w:tcBorders>
            <w:shd w:val="clear" w:color="auto" w:fill="auto"/>
            <w:vAlign w:val="center"/>
          </w:tcPr>
          <w:p w14:paraId="165F8204">
            <w:pPr>
              <w:widowControl/>
              <w:jc w:val="center"/>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现场考察分</w:t>
            </w:r>
          </w:p>
          <w:p w14:paraId="07C38C03">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lang w:val="en-US" w:eastAsia="zh-CN" w:bidi="ar"/>
              </w:rPr>
              <w:t>15</w:t>
            </w:r>
            <w:r>
              <w:rPr>
                <w:rFonts w:hint="eastAsia" w:ascii="仿宋" w:hAnsi="仿宋" w:eastAsia="仿宋" w:cs="仿宋"/>
                <w:b/>
                <w:color w:val="000000"/>
                <w:kern w:val="0"/>
                <w:sz w:val="28"/>
                <w:szCs w:val="28"/>
                <w:lang w:bidi="ar"/>
              </w:rPr>
              <w:t>分</w:t>
            </w:r>
          </w:p>
        </w:tc>
        <w:tc>
          <w:tcPr>
            <w:tcW w:w="1839" w:type="dxa"/>
            <w:tcBorders>
              <w:bottom w:val="single" w:color="000000" w:sz="4" w:space="0"/>
              <w:right w:val="single" w:color="000000" w:sz="4" w:space="0"/>
            </w:tcBorders>
            <w:shd w:val="clear" w:color="auto" w:fill="auto"/>
            <w:vAlign w:val="center"/>
          </w:tcPr>
          <w:p w14:paraId="4BED066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对项目的理解</w:t>
            </w:r>
          </w:p>
        </w:tc>
        <w:tc>
          <w:tcPr>
            <w:tcW w:w="2814" w:type="dxa"/>
            <w:tcBorders>
              <w:bottom w:val="single" w:color="000000" w:sz="4" w:space="0"/>
              <w:right w:val="single" w:color="000000" w:sz="4" w:space="0"/>
            </w:tcBorders>
            <w:shd w:val="clear" w:color="auto" w:fill="auto"/>
            <w:vAlign w:val="center"/>
          </w:tcPr>
          <w:p w14:paraId="67531587">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对现场场地规划使用的依据和合理性展现</w:t>
            </w:r>
          </w:p>
        </w:tc>
        <w:tc>
          <w:tcPr>
            <w:tcW w:w="1395" w:type="dxa"/>
            <w:tcBorders>
              <w:bottom w:val="single" w:color="000000" w:sz="4" w:space="0"/>
              <w:right w:val="single" w:color="000000" w:sz="4" w:space="0"/>
            </w:tcBorders>
            <w:shd w:val="clear" w:color="auto" w:fill="auto"/>
            <w:vAlign w:val="center"/>
          </w:tcPr>
          <w:p w14:paraId="7D0B949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1080" w:type="dxa"/>
            <w:tcBorders>
              <w:bottom w:val="single" w:color="000000" w:sz="4" w:space="0"/>
              <w:right w:val="single" w:color="000000" w:sz="4" w:space="0"/>
            </w:tcBorders>
            <w:shd w:val="clear" w:color="auto" w:fill="auto"/>
            <w:vAlign w:val="center"/>
          </w:tcPr>
          <w:p w14:paraId="743948A0">
            <w:pPr>
              <w:rPr>
                <w:rFonts w:ascii="仿宋" w:hAnsi="仿宋" w:eastAsia="仿宋" w:cs="仿宋"/>
                <w:color w:val="000000"/>
                <w:sz w:val="28"/>
                <w:szCs w:val="28"/>
              </w:rPr>
            </w:pPr>
          </w:p>
        </w:tc>
      </w:tr>
      <w:tr w14:paraId="143470B7">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20A93959">
            <w:pPr>
              <w:rPr>
                <w:rFonts w:ascii="仿宋" w:hAnsi="仿宋" w:eastAsia="仿宋" w:cs="仿宋"/>
                <w:b/>
                <w:color w:val="000000"/>
                <w:sz w:val="28"/>
                <w:szCs w:val="28"/>
              </w:rPr>
            </w:pPr>
          </w:p>
        </w:tc>
        <w:tc>
          <w:tcPr>
            <w:tcW w:w="1839" w:type="dxa"/>
            <w:tcBorders>
              <w:bottom w:val="single" w:color="000000" w:sz="4" w:space="0"/>
              <w:right w:val="single" w:color="000000" w:sz="4" w:space="0"/>
            </w:tcBorders>
            <w:shd w:val="clear" w:color="auto" w:fill="auto"/>
            <w:vAlign w:val="center"/>
          </w:tcPr>
          <w:p w14:paraId="225556C8">
            <w:pPr>
              <w:widowControl/>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流程专业性</w:t>
            </w:r>
          </w:p>
        </w:tc>
        <w:tc>
          <w:tcPr>
            <w:tcW w:w="2814" w:type="dxa"/>
            <w:tcBorders>
              <w:bottom w:val="single" w:color="000000" w:sz="4" w:space="0"/>
              <w:right w:val="single" w:color="000000" w:sz="4" w:space="0"/>
            </w:tcBorders>
            <w:shd w:val="clear" w:color="auto" w:fill="auto"/>
            <w:vAlign w:val="center"/>
          </w:tcPr>
          <w:p w14:paraId="545D1FD3">
            <w:pPr>
              <w:widowControl/>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现场考察投标人运营全过程演示，包括存储便捷、安全性，物品是否良好保存，机器检修等工作流程上专业性酌情给分。</w:t>
            </w:r>
          </w:p>
        </w:tc>
        <w:tc>
          <w:tcPr>
            <w:tcW w:w="1395" w:type="dxa"/>
            <w:tcBorders>
              <w:bottom w:val="single" w:color="000000" w:sz="4" w:space="0"/>
              <w:right w:val="single" w:color="000000" w:sz="4" w:space="0"/>
            </w:tcBorders>
            <w:shd w:val="clear" w:color="auto" w:fill="auto"/>
            <w:vAlign w:val="center"/>
          </w:tcPr>
          <w:p w14:paraId="6E51AF60">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5</w:t>
            </w:r>
          </w:p>
        </w:tc>
        <w:tc>
          <w:tcPr>
            <w:tcW w:w="1080" w:type="dxa"/>
            <w:tcBorders>
              <w:bottom w:val="single" w:color="000000" w:sz="4" w:space="0"/>
              <w:right w:val="single" w:color="000000" w:sz="4" w:space="0"/>
            </w:tcBorders>
            <w:shd w:val="clear" w:color="auto" w:fill="auto"/>
            <w:vAlign w:val="center"/>
          </w:tcPr>
          <w:p w14:paraId="64F189EC">
            <w:pPr>
              <w:rPr>
                <w:rFonts w:ascii="仿宋" w:hAnsi="仿宋" w:eastAsia="仿宋" w:cs="仿宋"/>
                <w:color w:val="000000"/>
                <w:sz w:val="28"/>
                <w:szCs w:val="28"/>
              </w:rPr>
            </w:pPr>
          </w:p>
        </w:tc>
      </w:tr>
      <w:tr w14:paraId="748299E1">
        <w:tblPrEx>
          <w:tblCellMar>
            <w:top w:w="15" w:type="dxa"/>
            <w:left w:w="15" w:type="dxa"/>
            <w:bottom w:w="15" w:type="dxa"/>
            <w:right w:w="15" w:type="dxa"/>
          </w:tblCellMar>
        </w:tblPrEx>
        <w:trPr>
          <w:trHeight w:val="1455"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72A4E6B">
            <w:pPr>
              <w:rPr>
                <w:rFonts w:ascii="仿宋" w:hAnsi="仿宋" w:eastAsia="仿宋" w:cs="仿宋"/>
                <w:b/>
                <w:color w:val="000000"/>
                <w:sz w:val="28"/>
                <w:szCs w:val="28"/>
              </w:rPr>
            </w:pPr>
          </w:p>
        </w:tc>
        <w:tc>
          <w:tcPr>
            <w:tcW w:w="1839" w:type="dxa"/>
            <w:tcBorders>
              <w:bottom w:val="single" w:color="000000" w:sz="4" w:space="0"/>
              <w:right w:val="single" w:color="000000" w:sz="4" w:space="0"/>
            </w:tcBorders>
            <w:shd w:val="clear" w:color="auto" w:fill="auto"/>
            <w:vAlign w:val="center"/>
          </w:tcPr>
          <w:p w14:paraId="68F0569C">
            <w:pPr>
              <w:widowControl/>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载体安全性</w:t>
            </w:r>
          </w:p>
        </w:tc>
        <w:tc>
          <w:tcPr>
            <w:tcW w:w="2814" w:type="dxa"/>
            <w:tcBorders>
              <w:bottom w:val="single" w:color="000000" w:sz="4" w:space="0"/>
              <w:right w:val="single" w:color="000000" w:sz="4" w:space="0"/>
            </w:tcBorders>
            <w:shd w:val="clear" w:color="auto" w:fill="auto"/>
            <w:vAlign w:val="center"/>
          </w:tcPr>
          <w:p w14:paraId="0955D109">
            <w:pPr>
              <w:widowControl/>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从</w:t>
            </w:r>
            <w:r>
              <w:rPr>
                <w:rFonts w:hint="eastAsia" w:ascii="仿宋" w:hAnsi="仿宋" w:eastAsia="仿宋" w:cs="仿宋"/>
                <w:color w:val="000000"/>
                <w:kern w:val="0"/>
                <w:sz w:val="24"/>
                <w:lang w:val="en-US" w:eastAsia="zh-CN" w:bidi="ar"/>
              </w:rPr>
              <w:t>智能</w:t>
            </w:r>
            <w:r>
              <w:rPr>
                <w:rFonts w:hint="eastAsia" w:ascii="仿宋" w:hAnsi="仿宋" w:eastAsia="仿宋" w:cs="仿宋"/>
                <w:color w:val="000000"/>
                <w:kern w:val="0"/>
                <w:sz w:val="24"/>
                <w:lang w:bidi="ar"/>
              </w:rPr>
              <w:t>存储机器本身，考察机器硬件的稳定性、安全性和智能型。</w:t>
            </w:r>
          </w:p>
        </w:tc>
        <w:tc>
          <w:tcPr>
            <w:tcW w:w="1395" w:type="dxa"/>
            <w:tcBorders>
              <w:bottom w:val="single" w:color="000000" w:sz="4" w:space="0"/>
              <w:right w:val="single" w:color="000000" w:sz="4" w:space="0"/>
            </w:tcBorders>
            <w:shd w:val="clear" w:color="auto" w:fill="auto"/>
            <w:vAlign w:val="center"/>
          </w:tcPr>
          <w:p w14:paraId="0F0C568A">
            <w:pPr>
              <w:widowControl/>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3</w:t>
            </w:r>
          </w:p>
        </w:tc>
        <w:tc>
          <w:tcPr>
            <w:tcW w:w="1080" w:type="dxa"/>
            <w:tcBorders>
              <w:bottom w:val="single" w:color="000000" w:sz="4" w:space="0"/>
              <w:right w:val="single" w:color="000000" w:sz="4" w:space="0"/>
            </w:tcBorders>
            <w:shd w:val="clear" w:color="auto" w:fill="auto"/>
            <w:vAlign w:val="center"/>
          </w:tcPr>
          <w:p w14:paraId="17AC4EC0">
            <w:pPr>
              <w:rPr>
                <w:rFonts w:ascii="仿宋" w:hAnsi="仿宋" w:eastAsia="仿宋" w:cs="仿宋"/>
                <w:color w:val="000000"/>
                <w:sz w:val="28"/>
                <w:szCs w:val="28"/>
              </w:rPr>
            </w:pPr>
          </w:p>
        </w:tc>
      </w:tr>
      <w:tr w14:paraId="4E9CEF58">
        <w:tblPrEx>
          <w:tblCellMar>
            <w:top w:w="15" w:type="dxa"/>
            <w:left w:w="15" w:type="dxa"/>
            <w:bottom w:w="15" w:type="dxa"/>
            <w:right w:w="15" w:type="dxa"/>
          </w:tblCellMar>
        </w:tblPrEx>
        <w:trPr>
          <w:trHeight w:val="600" w:hRule="atLeast"/>
        </w:trPr>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1A342EC">
            <w:pPr>
              <w:rPr>
                <w:rFonts w:ascii="仿宋" w:hAnsi="仿宋" w:eastAsia="仿宋" w:cs="仿宋"/>
                <w:b/>
                <w:color w:val="000000"/>
                <w:sz w:val="28"/>
                <w:szCs w:val="28"/>
              </w:rPr>
            </w:pPr>
          </w:p>
        </w:tc>
        <w:tc>
          <w:tcPr>
            <w:tcW w:w="1839" w:type="dxa"/>
            <w:tcBorders>
              <w:bottom w:val="single" w:color="000000" w:sz="4" w:space="0"/>
              <w:right w:val="single" w:color="000000" w:sz="4" w:space="0"/>
            </w:tcBorders>
            <w:shd w:val="clear" w:color="auto" w:fill="auto"/>
            <w:vAlign w:val="center"/>
          </w:tcPr>
          <w:p w14:paraId="006FC241">
            <w:pPr>
              <w:widowControl/>
              <w:jc w:val="center"/>
              <w:textAlignment w:val="center"/>
              <w:rPr>
                <w:rFonts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bidi="ar"/>
              </w:rPr>
              <w:t>存储便捷性</w:t>
            </w:r>
          </w:p>
        </w:tc>
        <w:tc>
          <w:tcPr>
            <w:tcW w:w="2814" w:type="dxa"/>
            <w:tcBorders>
              <w:bottom w:val="single" w:color="000000" w:sz="4" w:space="0"/>
              <w:right w:val="single" w:color="000000" w:sz="4" w:space="0"/>
            </w:tcBorders>
            <w:shd w:val="clear" w:color="auto" w:fill="auto"/>
            <w:vAlign w:val="center"/>
          </w:tcPr>
          <w:p w14:paraId="653883D6">
            <w:pPr>
              <w:widowControl/>
              <w:textAlignment w:val="center"/>
              <w:rPr>
                <w:rFonts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智能存储方式支持</w:t>
            </w:r>
            <w:r>
              <w:rPr>
                <w:rFonts w:hint="eastAsia" w:ascii="仿宋" w:hAnsi="仿宋" w:eastAsia="仿宋" w:cs="仿宋"/>
                <w:color w:val="000000"/>
                <w:kern w:val="0"/>
                <w:sz w:val="24"/>
                <w:lang w:val="en-US" w:eastAsia="zh-CN" w:bidi="ar"/>
              </w:rPr>
              <w:t>使用</w:t>
            </w:r>
            <w:r>
              <w:rPr>
                <w:rFonts w:hint="eastAsia" w:ascii="仿宋" w:hAnsi="仿宋" w:eastAsia="仿宋" w:cs="仿宋"/>
                <w:color w:val="000000"/>
                <w:kern w:val="0"/>
                <w:sz w:val="24"/>
                <w:lang w:bidi="ar"/>
              </w:rPr>
              <w:t>微信</w:t>
            </w:r>
            <w:r>
              <w:rPr>
                <w:rFonts w:hint="eastAsia" w:ascii="仿宋" w:hAnsi="仿宋" w:eastAsia="仿宋" w:cs="仿宋"/>
                <w:color w:val="000000"/>
                <w:kern w:val="0"/>
                <w:sz w:val="24"/>
                <w:lang w:val="en-US" w:eastAsia="zh-CN" w:bidi="ar"/>
              </w:rPr>
              <w:t>或</w:t>
            </w:r>
            <w:r>
              <w:rPr>
                <w:rFonts w:hint="eastAsia" w:ascii="仿宋" w:hAnsi="仿宋" w:eastAsia="仿宋" w:cs="仿宋"/>
                <w:color w:val="000000"/>
                <w:kern w:val="0"/>
                <w:sz w:val="24"/>
                <w:lang w:bidi="ar"/>
              </w:rPr>
              <w:t>支付宝</w:t>
            </w:r>
            <w:r>
              <w:rPr>
                <w:rFonts w:hint="eastAsia" w:ascii="仿宋" w:hAnsi="仿宋" w:eastAsia="仿宋" w:cs="仿宋"/>
                <w:color w:val="000000"/>
                <w:kern w:val="0"/>
                <w:sz w:val="24"/>
                <w:lang w:val="en-US" w:eastAsia="zh-CN" w:bidi="ar"/>
              </w:rPr>
              <w:t>等软件，</w:t>
            </w:r>
            <w:r>
              <w:rPr>
                <w:rFonts w:hint="eastAsia" w:ascii="仿宋" w:hAnsi="仿宋" w:eastAsia="仿宋" w:cs="仿宋"/>
                <w:color w:val="000000"/>
                <w:kern w:val="0"/>
                <w:sz w:val="24"/>
                <w:lang w:bidi="ar"/>
              </w:rPr>
              <w:t>满足上述条件的，得</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分。</w:t>
            </w:r>
          </w:p>
        </w:tc>
        <w:tc>
          <w:tcPr>
            <w:tcW w:w="1395" w:type="dxa"/>
            <w:tcBorders>
              <w:bottom w:val="single" w:color="000000" w:sz="4" w:space="0"/>
              <w:right w:val="single" w:color="000000" w:sz="4" w:space="0"/>
            </w:tcBorders>
            <w:shd w:val="clear" w:color="auto" w:fill="auto"/>
            <w:vAlign w:val="center"/>
          </w:tcPr>
          <w:p w14:paraId="105AA61F">
            <w:pPr>
              <w:widowControl/>
              <w:jc w:val="center"/>
              <w:textAlignment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0"/>
                <w:sz w:val="28"/>
                <w:szCs w:val="28"/>
                <w:lang w:val="en-US" w:eastAsia="zh-CN" w:bidi="ar"/>
              </w:rPr>
              <w:t>2</w:t>
            </w:r>
          </w:p>
        </w:tc>
        <w:tc>
          <w:tcPr>
            <w:tcW w:w="1080" w:type="dxa"/>
            <w:tcBorders>
              <w:bottom w:val="single" w:color="000000" w:sz="4" w:space="0"/>
              <w:right w:val="single" w:color="000000" w:sz="4" w:space="0"/>
            </w:tcBorders>
            <w:shd w:val="clear" w:color="auto" w:fill="auto"/>
            <w:vAlign w:val="center"/>
          </w:tcPr>
          <w:p w14:paraId="35586AFB">
            <w:pPr>
              <w:rPr>
                <w:rFonts w:ascii="仿宋" w:hAnsi="仿宋" w:eastAsia="仿宋" w:cs="仿宋"/>
                <w:color w:val="000000"/>
                <w:sz w:val="28"/>
                <w:szCs w:val="28"/>
              </w:rPr>
            </w:pPr>
          </w:p>
        </w:tc>
      </w:tr>
    </w:tbl>
    <w:p w14:paraId="4A2F3347">
      <w:pPr>
        <w:rPr>
          <w:rFonts w:ascii="仿宋" w:hAnsi="仿宋" w:eastAsia="仿宋" w:cs="仿宋"/>
          <w:bCs/>
          <w:color w:val="000000"/>
          <w:sz w:val="28"/>
          <w:szCs w:val="28"/>
        </w:rPr>
      </w:pPr>
    </w:p>
    <w:p w14:paraId="2D6ABA4C">
      <w:pPr>
        <w:rPr>
          <w:sz w:val="28"/>
          <w:szCs w:val="28"/>
        </w:rPr>
      </w:pPr>
      <w:r>
        <w:rPr>
          <w:rFonts w:hint="eastAsia" w:ascii="仿宋" w:hAnsi="仿宋" w:eastAsia="仿宋" w:cs="仿宋"/>
          <w:bCs/>
          <w:color w:val="000000"/>
          <w:sz w:val="28"/>
          <w:szCs w:val="28"/>
        </w:rPr>
        <w:t>评委签名：                                日期：</w:t>
      </w:r>
    </w:p>
    <w:p w14:paraId="56FBA5E0">
      <w:pPr>
        <w:tabs>
          <w:tab w:val="left" w:pos="360"/>
        </w:tabs>
        <w:spacing w:line="360" w:lineRule="auto"/>
        <w:jc w:val="center"/>
        <w:rPr>
          <w:rFonts w:ascii="仿宋" w:hAnsi="仿宋" w:eastAsia="仿宋" w:cs="仿宋"/>
          <w:b/>
          <w:color w:val="000000"/>
          <w:sz w:val="44"/>
          <w:szCs w:val="44"/>
        </w:rPr>
      </w:pPr>
    </w:p>
    <w:p w14:paraId="67E9D3C7">
      <w:pPr>
        <w:tabs>
          <w:tab w:val="left" w:pos="360"/>
        </w:tabs>
        <w:spacing w:line="360" w:lineRule="auto"/>
        <w:rPr>
          <w:rFonts w:ascii="仿宋" w:hAnsi="仿宋" w:eastAsia="仿宋" w:cs="仿宋"/>
          <w:b/>
          <w:color w:val="000000"/>
          <w:sz w:val="44"/>
          <w:szCs w:val="44"/>
        </w:rPr>
      </w:pPr>
      <w:r>
        <w:rPr>
          <w:rFonts w:ascii="仿宋" w:hAnsi="仿宋" w:eastAsia="仿宋" w:cs="仿宋"/>
          <w:b/>
          <w:color w:val="000000"/>
          <w:sz w:val="44"/>
          <w:szCs w:val="44"/>
        </w:rPr>
        <w:br w:type="page"/>
      </w:r>
    </w:p>
    <w:p w14:paraId="701D07C3">
      <w:pPr>
        <w:pStyle w:val="2"/>
        <w:jc w:val="center"/>
      </w:pPr>
      <w:r>
        <w:rPr>
          <w:rFonts w:hint="eastAsia"/>
        </w:rPr>
        <w:t>第八部分 投标文件的递交及其他</w:t>
      </w:r>
    </w:p>
    <w:p w14:paraId="3625DA7A">
      <w:pPr>
        <w:spacing w:line="360" w:lineRule="auto"/>
        <w:ind w:firstLine="562" w:firstLineChars="200"/>
        <w:jc w:val="left"/>
        <w:rPr>
          <w:rFonts w:ascii="仿宋" w:hAnsi="仿宋" w:eastAsia="仿宋" w:cs="仿宋"/>
          <w:bCs/>
          <w:color w:val="000000"/>
          <w:sz w:val="28"/>
          <w:szCs w:val="28"/>
        </w:rPr>
      </w:pPr>
      <w:r>
        <w:rPr>
          <w:rFonts w:hint="eastAsia" w:ascii="仿宋" w:hAnsi="仿宋" w:eastAsia="仿宋" w:cs="仿宋"/>
          <w:b/>
          <w:color w:val="000000"/>
          <w:sz w:val="28"/>
          <w:szCs w:val="28"/>
        </w:rPr>
        <w:t>一、报名时间和地点：</w:t>
      </w:r>
      <w:r>
        <w:rPr>
          <w:rFonts w:hint="eastAsia"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6</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4</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日至</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6</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18</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日（报名资料可快递邮寄至广州市天河区五山路381号华南理工大学</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eastAsia="zh-CN"/>
        </w:rPr>
        <w:t>招标中心</w:t>
      </w:r>
      <w:r>
        <w:rPr>
          <w:rFonts w:hint="eastAsia" w:ascii="仿宋" w:hAnsi="仿宋" w:eastAsia="仿宋" w:cs="仿宋"/>
          <w:bCs/>
          <w:color w:val="000000"/>
          <w:sz w:val="28"/>
          <w:szCs w:val="28"/>
          <w:u w:val="single"/>
          <w:lang w:val="en-US" w:eastAsia="zh-CN"/>
        </w:rPr>
        <w:t>406</w:t>
      </w:r>
      <w:r>
        <w:rPr>
          <w:rFonts w:hint="eastAsia" w:ascii="仿宋" w:hAnsi="仿宋" w:eastAsia="仿宋" w:cs="仿宋"/>
          <w:bCs/>
          <w:color w:val="000000"/>
          <w:sz w:val="28"/>
          <w:szCs w:val="28"/>
          <w:u w:val="single"/>
        </w:rPr>
        <w:t xml:space="preserve"> 收件人：</w:t>
      </w:r>
      <w:r>
        <w:rPr>
          <w:rFonts w:hint="eastAsia" w:ascii="仿宋" w:hAnsi="仿宋" w:eastAsia="仿宋" w:cs="仿宋"/>
          <w:bCs/>
          <w:color w:val="000000"/>
          <w:sz w:val="28"/>
          <w:szCs w:val="28"/>
          <w:u w:val="single"/>
          <w:lang w:eastAsia="zh-CN"/>
        </w:rPr>
        <w:t>黄老师</w:t>
      </w:r>
      <w:r>
        <w:rPr>
          <w:rFonts w:hint="eastAsia" w:ascii="仿宋" w:hAnsi="仿宋" w:eastAsia="仿宋" w:cs="仿宋"/>
          <w:bCs/>
          <w:color w:val="000000"/>
          <w:sz w:val="28"/>
          <w:szCs w:val="28"/>
          <w:u w:val="single"/>
        </w:rPr>
        <w:t>，电话：</w:t>
      </w:r>
      <w:r>
        <w:rPr>
          <w:rFonts w:hint="eastAsia" w:ascii="仿宋" w:hAnsi="仿宋" w:eastAsia="仿宋" w:cs="仿宋"/>
          <w:bCs/>
          <w:color w:val="000000"/>
          <w:sz w:val="28"/>
          <w:szCs w:val="28"/>
          <w:u w:val="single"/>
          <w:lang w:val="en-US" w:eastAsia="zh-CN"/>
        </w:rPr>
        <w:t>15626205163</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）。邮寄材料以快递单据</w:t>
      </w:r>
      <w:r>
        <w:rPr>
          <w:rFonts w:hint="eastAsia" w:ascii="仿宋" w:hAnsi="仿宋" w:eastAsia="仿宋" w:cs="仿宋"/>
          <w:bCs/>
          <w:color w:val="000000"/>
          <w:sz w:val="28"/>
          <w:szCs w:val="28"/>
          <w:lang w:eastAsia="zh-CN"/>
        </w:rPr>
        <w:t>时</w:t>
      </w:r>
      <w:r>
        <w:rPr>
          <w:rFonts w:hint="eastAsia" w:ascii="仿宋" w:hAnsi="仿宋" w:eastAsia="仿宋" w:cs="仿宋"/>
          <w:bCs/>
          <w:color w:val="000000"/>
          <w:sz w:val="28"/>
          <w:szCs w:val="28"/>
        </w:rPr>
        <w:t>间为准，最迟需于202</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6</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18</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日17：00前寄</w:t>
      </w:r>
      <w:r>
        <w:rPr>
          <w:rFonts w:hint="eastAsia" w:ascii="仿宋" w:hAnsi="仿宋" w:eastAsia="仿宋" w:cs="仿宋"/>
          <w:bCs/>
          <w:color w:val="000000"/>
          <w:sz w:val="28"/>
          <w:szCs w:val="28"/>
          <w:lang w:val="en-US" w:eastAsia="zh-CN"/>
        </w:rPr>
        <w:t>/送</w:t>
      </w:r>
      <w:r>
        <w:rPr>
          <w:rFonts w:hint="eastAsia" w:ascii="仿宋" w:hAnsi="仿宋" w:eastAsia="仿宋" w:cs="仿宋"/>
          <w:bCs/>
          <w:color w:val="000000"/>
          <w:sz w:val="28"/>
          <w:szCs w:val="28"/>
        </w:rPr>
        <w:t>达）。</w:t>
      </w:r>
    </w:p>
    <w:p w14:paraId="42FE4C58">
      <w:pPr>
        <w:spacing w:line="360" w:lineRule="auto"/>
        <w:ind w:firstLine="562" w:firstLineChars="200"/>
        <w:rPr>
          <w:rFonts w:ascii="仿宋" w:hAnsi="仿宋" w:eastAsia="仿宋" w:cs="仿宋"/>
          <w:bCs/>
          <w:color w:val="000000"/>
          <w:sz w:val="28"/>
          <w:szCs w:val="28"/>
        </w:rPr>
      </w:pPr>
      <w:r>
        <w:rPr>
          <w:rFonts w:hint="eastAsia" w:ascii="仿宋" w:hAnsi="仿宋" w:eastAsia="仿宋" w:cs="仿宋"/>
          <w:b/>
          <w:color w:val="000000"/>
          <w:sz w:val="28"/>
          <w:szCs w:val="28"/>
        </w:rPr>
        <w:t>二、现场勘查的时间和地点：</w:t>
      </w:r>
      <w:r>
        <w:rPr>
          <w:rFonts w:hint="eastAsia"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6</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5</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6</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15</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 ，广州市天河区五山路381号华南理工大学五山校区内（请有兴趣的投标人自行到校区勘查，如需现场勘查请先联系</w:t>
      </w:r>
      <w:r>
        <w:rPr>
          <w:rFonts w:hint="eastAsia" w:ascii="仿宋" w:hAnsi="仿宋" w:eastAsia="仿宋" w:cs="仿宋"/>
          <w:bCs/>
          <w:color w:val="000000"/>
          <w:sz w:val="28"/>
          <w:szCs w:val="28"/>
          <w:u w:val="single"/>
          <w:lang w:eastAsia="zh-CN"/>
        </w:rPr>
        <w:t>黄老师（</w:t>
      </w:r>
      <w:r>
        <w:rPr>
          <w:rFonts w:hint="eastAsia" w:ascii="仿宋" w:hAnsi="仿宋" w:eastAsia="仿宋" w:cs="仿宋"/>
          <w:bCs/>
          <w:color w:val="000000"/>
          <w:sz w:val="28"/>
          <w:szCs w:val="28"/>
          <w:u w:val="single"/>
          <w:lang w:val="en-US" w:eastAsia="zh-CN"/>
        </w:rPr>
        <w:t>87110454/1562605163</w:t>
      </w:r>
      <w:r>
        <w:rPr>
          <w:rFonts w:hint="eastAsia" w:ascii="仿宋" w:hAnsi="仿宋" w:eastAsia="仿宋" w:cs="仿宋"/>
          <w:bCs/>
          <w:color w:val="000000"/>
          <w:sz w:val="28"/>
          <w:szCs w:val="28"/>
          <w:u w:val="single"/>
          <w:lang w:eastAsia="zh-CN"/>
        </w:rPr>
        <w:t>）</w:t>
      </w:r>
      <w:r>
        <w:rPr>
          <w:rFonts w:hint="eastAsia" w:ascii="仿宋" w:hAnsi="仿宋" w:eastAsia="仿宋" w:cs="仿宋"/>
          <w:bCs/>
          <w:color w:val="000000"/>
          <w:sz w:val="28"/>
          <w:szCs w:val="28"/>
        </w:rPr>
        <w:t>勘查时不得大声喧闹以影响正在营业的单位，违者将取消投标资格）。</w:t>
      </w:r>
    </w:p>
    <w:p w14:paraId="020408D6">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三、投标文件的递交时间和地点：</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6</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lang w:val="en-US" w:eastAsia="zh-CN"/>
        </w:rPr>
        <w:t>19</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：00--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:30，广州市天河区五山路381号华南理工大学</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招标中心</w:t>
      </w:r>
      <w:r>
        <w:rPr>
          <w:rFonts w:hint="eastAsia" w:ascii="仿宋" w:hAnsi="仿宋" w:eastAsia="仿宋" w:cs="仿宋"/>
          <w:color w:val="000000"/>
          <w:sz w:val="28"/>
          <w:szCs w:val="28"/>
          <w:u w:val="single"/>
          <w:lang w:val="en-US" w:eastAsia="zh-CN"/>
        </w:rPr>
        <w:t>4号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评标室。</w:t>
      </w:r>
    </w:p>
    <w:p w14:paraId="3CAAAD0E">
      <w:pPr>
        <w:spacing w:line="360" w:lineRule="auto"/>
        <w:ind w:firstLine="562" w:firstLineChars="200"/>
        <w:rPr>
          <w:rFonts w:ascii="仿宋" w:hAnsi="仿宋" w:eastAsia="仿宋" w:cs="仿宋"/>
          <w:bCs/>
          <w:color w:val="000000"/>
          <w:sz w:val="28"/>
          <w:szCs w:val="28"/>
        </w:rPr>
      </w:pPr>
      <w:r>
        <w:rPr>
          <w:rFonts w:hint="eastAsia" w:ascii="仿宋" w:hAnsi="仿宋" w:eastAsia="仿宋" w:cs="仿宋"/>
          <w:b/>
          <w:color w:val="000000"/>
          <w:sz w:val="28"/>
          <w:szCs w:val="28"/>
        </w:rPr>
        <w:t>四、开标及评标时间：</w:t>
      </w:r>
      <w:r>
        <w:rPr>
          <w:rFonts w:hint="eastAsia"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6</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19</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日</w:t>
      </w:r>
      <w:r>
        <w:rPr>
          <w:rFonts w:hint="eastAsia" w:ascii="仿宋" w:hAnsi="仿宋" w:eastAsia="仿宋" w:cs="仿宋"/>
          <w:bCs/>
          <w:color w:val="000000"/>
          <w:sz w:val="28"/>
          <w:szCs w:val="28"/>
          <w:lang w:val="en-US" w:eastAsia="zh-CN"/>
        </w:rPr>
        <w:t>9</w:t>
      </w:r>
      <w:r>
        <w:rPr>
          <w:rFonts w:hint="eastAsia" w:ascii="仿宋" w:hAnsi="仿宋" w:eastAsia="仿宋" w:cs="仿宋"/>
          <w:bCs/>
          <w:color w:val="000000"/>
          <w:sz w:val="28"/>
          <w:szCs w:val="28"/>
        </w:rPr>
        <w:t>:30-1</w:t>
      </w: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:30。</w:t>
      </w:r>
    </w:p>
    <w:p w14:paraId="4FC6D9A3">
      <w:pPr>
        <w:spacing w:line="360" w:lineRule="auto"/>
        <w:ind w:firstLine="562" w:firstLineChars="200"/>
        <w:rPr>
          <w:rFonts w:ascii="仿宋" w:hAnsi="仿宋" w:eastAsia="仿宋" w:cs="仿宋"/>
          <w:bCs/>
          <w:color w:val="FF0000"/>
          <w:sz w:val="28"/>
          <w:szCs w:val="28"/>
        </w:rPr>
      </w:pPr>
      <w:r>
        <w:rPr>
          <w:rFonts w:hint="eastAsia" w:ascii="仿宋" w:hAnsi="仿宋" w:eastAsia="仿宋" w:cs="仿宋"/>
          <w:b/>
          <w:color w:val="FF0000"/>
          <w:sz w:val="28"/>
          <w:szCs w:val="28"/>
        </w:rPr>
        <w:t>五、现场考察：</w:t>
      </w:r>
      <w:r>
        <w:rPr>
          <w:rFonts w:hint="eastAsia" w:ascii="仿宋" w:hAnsi="仿宋" w:eastAsia="仿宋" w:cs="仿宋"/>
          <w:bCs/>
          <w:color w:val="FF0000"/>
          <w:sz w:val="28"/>
          <w:szCs w:val="28"/>
        </w:rPr>
        <w:t>202</w:t>
      </w:r>
      <w:r>
        <w:rPr>
          <w:rFonts w:hint="eastAsia" w:ascii="仿宋" w:hAnsi="仿宋" w:eastAsia="仿宋" w:cs="仿宋"/>
          <w:bCs/>
          <w:color w:val="FF0000"/>
          <w:sz w:val="28"/>
          <w:szCs w:val="28"/>
          <w:lang w:val="en-US" w:eastAsia="zh-CN"/>
        </w:rPr>
        <w:t>5</w:t>
      </w:r>
      <w:r>
        <w:rPr>
          <w:rFonts w:hint="eastAsia" w:ascii="仿宋" w:hAnsi="仿宋" w:eastAsia="仿宋" w:cs="仿宋"/>
          <w:bCs/>
          <w:color w:val="FF0000"/>
          <w:sz w:val="28"/>
          <w:szCs w:val="28"/>
        </w:rPr>
        <w:t>年</w:t>
      </w:r>
      <w:r>
        <w:rPr>
          <w:rFonts w:hint="eastAsia" w:ascii="仿宋" w:hAnsi="仿宋" w:eastAsia="仿宋" w:cs="仿宋"/>
          <w:bCs/>
          <w:color w:val="FF0000"/>
          <w:sz w:val="28"/>
          <w:szCs w:val="28"/>
          <w:u w:val="single"/>
        </w:rPr>
        <w:t xml:space="preserve"> </w:t>
      </w:r>
      <w:r>
        <w:rPr>
          <w:rFonts w:hint="eastAsia" w:ascii="仿宋" w:hAnsi="仿宋" w:eastAsia="仿宋" w:cs="仿宋"/>
          <w:bCs/>
          <w:color w:val="FF0000"/>
          <w:sz w:val="28"/>
          <w:szCs w:val="28"/>
          <w:u w:val="single"/>
          <w:lang w:val="en-US" w:eastAsia="zh-CN"/>
        </w:rPr>
        <w:t>6</w:t>
      </w:r>
      <w:r>
        <w:rPr>
          <w:rFonts w:hint="eastAsia" w:ascii="仿宋" w:hAnsi="仿宋" w:eastAsia="仿宋" w:cs="仿宋"/>
          <w:bCs/>
          <w:color w:val="FF0000"/>
          <w:sz w:val="28"/>
          <w:szCs w:val="28"/>
          <w:u w:val="single"/>
        </w:rPr>
        <w:t xml:space="preserve"> </w:t>
      </w:r>
      <w:r>
        <w:rPr>
          <w:rFonts w:hint="eastAsia" w:ascii="仿宋" w:hAnsi="仿宋" w:eastAsia="仿宋" w:cs="仿宋"/>
          <w:bCs/>
          <w:color w:val="FF0000"/>
          <w:sz w:val="28"/>
          <w:szCs w:val="28"/>
        </w:rPr>
        <w:t>月</w:t>
      </w:r>
      <w:r>
        <w:rPr>
          <w:rFonts w:hint="eastAsia" w:ascii="仿宋" w:hAnsi="仿宋" w:eastAsia="仿宋" w:cs="仿宋"/>
          <w:bCs/>
          <w:color w:val="FF0000"/>
          <w:sz w:val="28"/>
          <w:szCs w:val="28"/>
          <w:u w:val="single"/>
        </w:rPr>
        <w:t xml:space="preserve"> </w:t>
      </w:r>
      <w:r>
        <w:rPr>
          <w:rFonts w:hint="eastAsia" w:ascii="仿宋" w:hAnsi="仿宋" w:eastAsia="仿宋" w:cs="仿宋"/>
          <w:bCs/>
          <w:color w:val="FF0000"/>
          <w:sz w:val="28"/>
          <w:szCs w:val="28"/>
          <w:u w:val="single"/>
          <w:lang w:val="en-US" w:eastAsia="zh-CN"/>
        </w:rPr>
        <w:t>5</w:t>
      </w:r>
      <w:r>
        <w:rPr>
          <w:rFonts w:hint="eastAsia" w:ascii="仿宋" w:hAnsi="仿宋" w:eastAsia="仿宋" w:cs="仿宋"/>
          <w:bCs/>
          <w:color w:val="FF0000"/>
          <w:sz w:val="28"/>
          <w:szCs w:val="28"/>
          <w:u w:val="single"/>
        </w:rPr>
        <w:t xml:space="preserve"> </w:t>
      </w:r>
      <w:r>
        <w:rPr>
          <w:rFonts w:hint="eastAsia" w:ascii="仿宋" w:hAnsi="仿宋" w:eastAsia="仿宋" w:cs="仿宋"/>
          <w:bCs/>
          <w:color w:val="FF0000"/>
          <w:sz w:val="28"/>
          <w:szCs w:val="28"/>
        </w:rPr>
        <w:t>日</w:t>
      </w:r>
      <w:r>
        <w:rPr>
          <w:rFonts w:hint="eastAsia" w:ascii="仿宋" w:hAnsi="仿宋" w:eastAsia="仿宋" w:cs="仿宋"/>
          <w:bCs/>
          <w:color w:val="FF0000"/>
          <w:sz w:val="28"/>
          <w:szCs w:val="28"/>
          <w:lang w:eastAsia="zh-CN"/>
        </w:rPr>
        <w:t>至</w:t>
      </w:r>
      <w:r>
        <w:rPr>
          <w:rFonts w:hint="eastAsia" w:ascii="仿宋" w:hAnsi="仿宋" w:eastAsia="仿宋" w:cs="仿宋"/>
          <w:bCs/>
          <w:color w:val="FF0000"/>
          <w:sz w:val="28"/>
          <w:szCs w:val="28"/>
          <w:u w:val="single"/>
          <w:lang w:val="en-US" w:eastAsia="zh-CN"/>
        </w:rPr>
        <w:t>6</w:t>
      </w:r>
      <w:r>
        <w:rPr>
          <w:rFonts w:hint="eastAsia" w:ascii="仿宋" w:hAnsi="仿宋" w:eastAsia="仿宋" w:cs="仿宋"/>
          <w:bCs/>
          <w:color w:val="FF0000"/>
          <w:sz w:val="28"/>
          <w:szCs w:val="28"/>
          <w:lang w:val="en-US" w:eastAsia="zh-CN"/>
        </w:rPr>
        <w:t>月</w:t>
      </w:r>
      <w:r>
        <w:rPr>
          <w:rFonts w:hint="eastAsia" w:ascii="仿宋" w:hAnsi="仿宋" w:eastAsia="仿宋" w:cs="仿宋"/>
          <w:bCs/>
          <w:color w:val="FF0000"/>
          <w:sz w:val="28"/>
          <w:szCs w:val="28"/>
          <w:u w:val="single"/>
          <w:lang w:val="en-US" w:eastAsia="zh-CN"/>
        </w:rPr>
        <w:t>10</w:t>
      </w:r>
      <w:r>
        <w:rPr>
          <w:rFonts w:hint="eastAsia" w:ascii="仿宋" w:hAnsi="仿宋" w:eastAsia="仿宋" w:cs="仿宋"/>
          <w:bCs/>
          <w:color w:val="FF0000"/>
          <w:sz w:val="28"/>
          <w:szCs w:val="28"/>
          <w:lang w:val="en-US" w:eastAsia="zh-CN"/>
        </w:rPr>
        <w:t>日</w:t>
      </w:r>
      <w:r>
        <w:rPr>
          <w:rFonts w:hint="eastAsia" w:ascii="仿宋" w:hAnsi="仿宋" w:eastAsia="仿宋" w:cs="仿宋"/>
          <w:bCs/>
          <w:color w:val="FF0000"/>
          <w:sz w:val="28"/>
          <w:szCs w:val="28"/>
        </w:rPr>
        <w:t>（通过投标人提供的照片、视频等介绍材料进行评审，照片和视频等资料请拷贝到光盘或U盘里随</w:t>
      </w:r>
      <w:r>
        <w:rPr>
          <w:rFonts w:hint="eastAsia" w:ascii="仿宋" w:hAnsi="仿宋" w:eastAsia="仿宋" w:cs="仿宋"/>
          <w:bCs/>
          <w:color w:val="FF0000"/>
          <w:sz w:val="28"/>
          <w:szCs w:val="28"/>
          <w:lang w:eastAsia="zh-CN"/>
        </w:rPr>
        <w:t>遴选</w:t>
      </w:r>
      <w:r>
        <w:rPr>
          <w:rFonts w:hint="eastAsia" w:ascii="仿宋" w:hAnsi="仿宋" w:eastAsia="仿宋" w:cs="仿宋"/>
          <w:bCs/>
          <w:color w:val="FF0000"/>
          <w:sz w:val="28"/>
          <w:szCs w:val="28"/>
        </w:rPr>
        <w:t>文件密封。）</w:t>
      </w:r>
    </w:p>
    <w:p w14:paraId="612F0410">
      <w:pPr>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Cs/>
          <w:color w:val="000000"/>
          <w:sz w:val="28"/>
          <w:szCs w:val="28"/>
        </w:rPr>
        <w:t>投标事宜的任何变动及投标文件的任何变更和补充，均以华南理工大学五山校区后勤处的网页发布通知为准，投标人若对</w:t>
      </w:r>
      <w:r>
        <w:rPr>
          <w:rFonts w:hint="eastAsia" w:ascii="仿宋" w:hAnsi="仿宋" w:eastAsia="仿宋" w:cs="仿宋"/>
          <w:bCs/>
          <w:color w:val="000000"/>
          <w:sz w:val="28"/>
          <w:szCs w:val="28"/>
          <w:lang w:eastAsia="zh-CN"/>
        </w:rPr>
        <w:t>遴选</w:t>
      </w:r>
      <w:r>
        <w:rPr>
          <w:rFonts w:hint="eastAsia" w:ascii="仿宋" w:hAnsi="仿宋" w:eastAsia="仿宋" w:cs="仿宋"/>
          <w:bCs/>
          <w:color w:val="000000"/>
          <w:sz w:val="28"/>
          <w:szCs w:val="28"/>
        </w:rPr>
        <w:t>文件有任何疑问，可于</w:t>
      </w:r>
      <w:r>
        <w:rPr>
          <w:rFonts w:hint="eastAsia" w:ascii="仿宋" w:hAnsi="仿宋" w:eastAsia="仿宋" w:cs="仿宋"/>
          <w:bCs/>
          <w:color w:val="000000"/>
          <w:sz w:val="28"/>
          <w:szCs w:val="28"/>
          <w:lang w:eastAsia="zh-CN"/>
        </w:rPr>
        <w:t>遴选</w:t>
      </w:r>
      <w:r>
        <w:rPr>
          <w:rFonts w:hint="eastAsia" w:ascii="仿宋" w:hAnsi="仿宋" w:eastAsia="仿宋" w:cs="仿宋"/>
          <w:bCs/>
          <w:color w:val="000000"/>
          <w:sz w:val="28"/>
          <w:szCs w:val="28"/>
        </w:rPr>
        <w:t>公告发布后两天内电话咨询，</w:t>
      </w:r>
      <w:r>
        <w:rPr>
          <w:rFonts w:ascii="仿宋" w:hAnsi="仿宋" w:eastAsia="仿宋" w:cs="仿宋"/>
          <w:bCs/>
          <w:color w:val="000000"/>
          <w:sz w:val="28"/>
          <w:szCs w:val="28"/>
        </w:rPr>
        <w:t xml:space="preserve"> 8711</w:t>
      </w:r>
      <w:bookmarkEnd w:id="1"/>
      <w:r>
        <w:rPr>
          <w:rFonts w:hint="eastAsia" w:ascii="仿宋" w:hAnsi="仿宋" w:eastAsia="仿宋" w:cs="仿宋"/>
          <w:bCs/>
          <w:color w:val="000000"/>
          <w:sz w:val="28"/>
          <w:szCs w:val="28"/>
        </w:rPr>
        <w:t>0454</w:t>
      </w:r>
    </w:p>
    <w:sectPr>
      <w:headerReference r:id="rId3" w:type="first"/>
      <w:footerReference r:id="rId6" w:type="first"/>
      <w:footerReference r:id="rId4" w:type="default"/>
      <w:footerReference r:id="rId5" w:type="even"/>
      <w:pgSz w:w="11906" w:h="16838"/>
      <w:pgMar w:top="1474" w:right="1644" w:bottom="1417" w:left="1644"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7C06">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64EF44">
                          <w:pPr>
                            <w:pStyle w:val="5"/>
                            <w:ind w:right="360"/>
                            <w:jc w:val="center"/>
                          </w:pPr>
                          <w:r>
                            <w:rPr>
                              <w:rStyle w:val="10"/>
                              <w:rFonts w:hint="eastAsia"/>
                            </w:rPr>
                            <w:t>（共</w:t>
                          </w:r>
                          <w:r>
                            <w:fldChar w:fldCharType="begin"/>
                          </w:r>
                          <w:r>
                            <w:rPr>
                              <w:rStyle w:val="10"/>
                            </w:rPr>
                            <w:instrText xml:space="preserve"> NUMPAGES </w:instrText>
                          </w:r>
                          <w:r>
                            <w:fldChar w:fldCharType="separate"/>
                          </w:r>
                          <w:r>
                            <w:rPr>
                              <w:rStyle w:val="10"/>
                            </w:rPr>
                            <w:t>25</w:t>
                          </w:r>
                          <w:r>
                            <w:fldChar w:fldCharType="end"/>
                          </w:r>
                          <w:r>
                            <w:rPr>
                              <w:rStyle w:val="10"/>
                              <w:rFonts w:hint="eastAsia"/>
                            </w:rPr>
                            <w:t>页）第</w:t>
                          </w:r>
                          <w:r>
                            <w:fldChar w:fldCharType="begin"/>
                          </w:r>
                          <w:r>
                            <w:rPr>
                              <w:rStyle w:val="10"/>
                            </w:rPr>
                            <w:instrText xml:space="preserve"> PAGE </w:instrText>
                          </w:r>
                          <w:r>
                            <w:fldChar w:fldCharType="separate"/>
                          </w:r>
                          <w:r>
                            <w:rPr>
                              <w:rStyle w:val="10"/>
                            </w:rPr>
                            <w:t>21</w:t>
                          </w:r>
                          <w:r>
                            <w:fldChar w:fldCharType="end"/>
                          </w:r>
                          <w:r>
                            <w:rPr>
                              <w:rStyle w:val="10"/>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964EF44">
                    <w:pPr>
                      <w:pStyle w:val="5"/>
                      <w:ind w:right="360"/>
                      <w:jc w:val="center"/>
                    </w:pPr>
                    <w:r>
                      <w:rPr>
                        <w:rStyle w:val="10"/>
                        <w:rFonts w:hint="eastAsia"/>
                      </w:rPr>
                      <w:t>（共</w:t>
                    </w:r>
                    <w:r>
                      <w:fldChar w:fldCharType="begin"/>
                    </w:r>
                    <w:r>
                      <w:rPr>
                        <w:rStyle w:val="10"/>
                      </w:rPr>
                      <w:instrText xml:space="preserve"> NUMPAGES </w:instrText>
                    </w:r>
                    <w:r>
                      <w:fldChar w:fldCharType="separate"/>
                    </w:r>
                    <w:r>
                      <w:rPr>
                        <w:rStyle w:val="10"/>
                      </w:rPr>
                      <w:t>25</w:t>
                    </w:r>
                    <w:r>
                      <w:fldChar w:fldCharType="end"/>
                    </w:r>
                    <w:r>
                      <w:rPr>
                        <w:rStyle w:val="10"/>
                        <w:rFonts w:hint="eastAsia"/>
                      </w:rPr>
                      <w:t>页）第</w:t>
                    </w:r>
                    <w:r>
                      <w:fldChar w:fldCharType="begin"/>
                    </w:r>
                    <w:r>
                      <w:rPr>
                        <w:rStyle w:val="10"/>
                      </w:rPr>
                      <w:instrText xml:space="preserve"> PAGE </w:instrText>
                    </w:r>
                    <w:r>
                      <w:fldChar w:fldCharType="separate"/>
                    </w:r>
                    <w:r>
                      <w:rPr>
                        <w:rStyle w:val="10"/>
                      </w:rPr>
                      <w:t>21</w:t>
                    </w:r>
                    <w:r>
                      <w:fldChar w:fldCharType="end"/>
                    </w:r>
                    <w:r>
                      <w:rPr>
                        <w:rStyle w:val="10"/>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54D6">
    <w:pPr>
      <w:pStyle w:val="5"/>
      <w:framePr w:wrap="around" w:vAnchor="text" w:hAnchor="margin" w:xAlign="center" w:yAlign="top"/>
      <w:rPr>
        <w:rStyle w:val="10"/>
      </w:rPr>
    </w:pPr>
    <w:r>
      <w:fldChar w:fldCharType="begin"/>
    </w:r>
    <w:r>
      <w:rPr>
        <w:rStyle w:val="10"/>
      </w:rPr>
      <w:instrText xml:space="preserve">PAGE  </w:instrText>
    </w:r>
    <w:r>
      <w:fldChar w:fldCharType="separate"/>
    </w:r>
    <w:r>
      <w:rPr>
        <w:rStyle w:val="10"/>
      </w:rPr>
      <w:t>24</w:t>
    </w:r>
    <w:r>
      <w:fldChar w:fldCharType="end"/>
    </w:r>
  </w:p>
  <w:p w14:paraId="16D28943">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53AB">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1EBED">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E21EBED">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47F7">
    <w:pPr>
      <w:jc w:val="left"/>
      <w:rPr>
        <w:rFonts w:ascii="宋体" w:hAnsi="宋体" w:cs="宋体"/>
        <w:b/>
        <w:spacing w:val="20"/>
        <w:w w:val="15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05D57"/>
    <w:multiLevelType w:val="singleLevel"/>
    <w:tmpl w:val="E6705D57"/>
    <w:lvl w:ilvl="0" w:tentative="0">
      <w:start w:val="1"/>
      <w:numFmt w:val="decimal"/>
      <w:suff w:val="nothing"/>
      <w:lvlText w:val="%1、"/>
      <w:lvlJc w:val="left"/>
    </w:lvl>
  </w:abstractNum>
  <w:abstractNum w:abstractNumId="1">
    <w:nsid w:val="5658E54D"/>
    <w:multiLevelType w:val="singleLevel"/>
    <w:tmpl w:val="5658E54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N2VjNjEzMDFjZDJmYmEwNmVjMWZmMDY4ZWVlMjkifQ=="/>
  </w:docVars>
  <w:rsids>
    <w:rsidRoot w:val="00CB5815"/>
    <w:rsid w:val="00002F00"/>
    <w:rsid w:val="0001012A"/>
    <w:rsid w:val="00012DA7"/>
    <w:rsid w:val="00024A90"/>
    <w:rsid w:val="000277F4"/>
    <w:rsid w:val="000B27A4"/>
    <w:rsid w:val="000B4DAE"/>
    <w:rsid w:val="000F2F4F"/>
    <w:rsid w:val="001063B3"/>
    <w:rsid w:val="001362F5"/>
    <w:rsid w:val="001E03E8"/>
    <w:rsid w:val="00210123"/>
    <w:rsid w:val="00213443"/>
    <w:rsid w:val="002147B3"/>
    <w:rsid w:val="0025027D"/>
    <w:rsid w:val="00264B01"/>
    <w:rsid w:val="0028699D"/>
    <w:rsid w:val="002922D1"/>
    <w:rsid w:val="002B3D6D"/>
    <w:rsid w:val="002D62EC"/>
    <w:rsid w:val="00333122"/>
    <w:rsid w:val="00335696"/>
    <w:rsid w:val="003564E2"/>
    <w:rsid w:val="0037353B"/>
    <w:rsid w:val="00376761"/>
    <w:rsid w:val="00382D70"/>
    <w:rsid w:val="003920BD"/>
    <w:rsid w:val="003A7CFC"/>
    <w:rsid w:val="0043049B"/>
    <w:rsid w:val="00434AAC"/>
    <w:rsid w:val="00462552"/>
    <w:rsid w:val="00463FAA"/>
    <w:rsid w:val="00480208"/>
    <w:rsid w:val="00491F44"/>
    <w:rsid w:val="00492585"/>
    <w:rsid w:val="004C0FCB"/>
    <w:rsid w:val="004F28CB"/>
    <w:rsid w:val="00502595"/>
    <w:rsid w:val="00514A74"/>
    <w:rsid w:val="0056217F"/>
    <w:rsid w:val="00571930"/>
    <w:rsid w:val="0058559D"/>
    <w:rsid w:val="005C13D8"/>
    <w:rsid w:val="00600734"/>
    <w:rsid w:val="006011DE"/>
    <w:rsid w:val="00611BFB"/>
    <w:rsid w:val="0062617D"/>
    <w:rsid w:val="006315E7"/>
    <w:rsid w:val="0065029A"/>
    <w:rsid w:val="006C2F92"/>
    <w:rsid w:val="006C546C"/>
    <w:rsid w:val="006E0151"/>
    <w:rsid w:val="00706774"/>
    <w:rsid w:val="007101E0"/>
    <w:rsid w:val="0072357D"/>
    <w:rsid w:val="00770206"/>
    <w:rsid w:val="00783A74"/>
    <w:rsid w:val="00786367"/>
    <w:rsid w:val="007A2889"/>
    <w:rsid w:val="007D0785"/>
    <w:rsid w:val="007E6D3A"/>
    <w:rsid w:val="008158F3"/>
    <w:rsid w:val="00870EFE"/>
    <w:rsid w:val="0088262C"/>
    <w:rsid w:val="00890B7D"/>
    <w:rsid w:val="008E1584"/>
    <w:rsid w:val="008E204F"/>
    <w:rsid w:val="00945FAA"/>
    <w:rsid w:val="009B0CE3"/>
    <w:rsid w:val="009B2B67"/>
    <w:rsid w:val="009F5886"/>
    <w:rsid w:val="00A017E9"/>
    <w:rsid w:val="00A1046F"/>
    <w:rsid w:val="00A20469"/>
    <w:rsid w:val="00A278D9"/>
    <w:rsid w:val="00A37142"/>
    <w:rsid w:val="00A61364"/>
    <w:rsid w:val="00A727FE"/>
    <w:rsid w:val="00A770FC"/>
    <w:rsid w:val="00A87B78"/>
    <w:rsid w:val="00A958FA"/>
    <w:rsid w:val="00A96037"/>
    <w:rsid w:val="00A97BF5"/>
    <w:rsid w:val="00AC49A4"/>
    <w:rsid w:val="00B33E94"/>
    <w:rsid w:val="00B72730"/>
    <w:rsid w:val="00BC156C"/>
    <w:rsid w:val="00BD7AE9"/>
    <w:rsid w:val="00C02A8C"/>
    <w:rsid w:val="00C14D99"/>
    <w:rsid w:val="00C216F2"/>
    <w:rsid w:val="00C23BDB"/>
    <w:rsid w:val="00C34B9B"/>
    <w:rsid w:val="00C54DDF"/>
    <w:rsid w:val="00C72B38"/>
    <w:rsid w:val="00C954D2"/>
    <w:rsid w:val="00CB5815"/>
    <w:rsid w:val="00CE0FCA"/>
    <w:rsid w:val="00D023A5"/>
    <w:rsid w:val="00D12B61"/>
    <w:rsid w:val="00D430F5"/>
    <w:rsid w:val="00D43676"/>
    <w:rsid w:val="00D670F8"/>
    <w:rsid w:val="00D92DBA"/>
    <w:rsid w:val="00D933FD"/>
    <w:rsid w:val="00DA3563"/>
    <w:rsid w:val="00DA46DB"/>
    <w:rsid w:val="00DE109A"/>
    <w:rsid w:val="00DE482B"/>
    <w:rsid w:val="00DE7B5F"/>
    <w:rsid w:val="00E12851"/>
    <w:rsid w:val="00E17119"/>
    <w:rsid w:val="00E71A04"/>
    <w:rsid w:val="00E92111"/>
    <w:rsid w:val="00EA68D4"/>
    <w:rsid w:val="00EC517E"/>
    <w:rsid w:val="00F538ED"/>
    <w:rsid w:val="00F935D9"/>
    <w:rsid w:val="00FB2F64"/>
    <w:rsid w:val="04014635"/>
    <w:rsid w:val="05825A64"/>
    <w:rsid w:val="0AFA0790"/>
    <w:rsid w:val="0E53178C"/>
    <w:rsid w:val="149243D2"/>
    <w:rsid w:val="18160C6B"/>
    <w:rsid w:val="1D042CCB"/>
    <w:rsid w:val="212A31C1"/>
    <w:rsid w:val="23D3148C"/>
    <w:rsid w:val="28C123E1"/>
    <w:rsid w:val="2B28251D"/>
    <w:rsid w:val="2D0E2E26"/>
    <w:rsid w:val="2F1A1549"/>
    <w:rsid w:val="361231BE"/>
    <w:rsid w:val="3EDD0BC2"/>
    <w:rsid w:val="3FB64B31"/>
    <w:rsid w:val="46854BAE"/>
    <w:rsid w:val="46D4052B"/>
    <w:rsid w:val="46E01382"/>
    <w:rsid w:val="46EF64C7"/>
    <w:rsid w:val="4A826FA2"/>
    <w:rsid w:val="4E3035BE"/>
    <w:rsid w:val="509C1BAA"/>
    <w:rsid w:val="55643E77"/>
    <w:rsid w:val="5BA664C4"/>
    <w:rsid w:val="5D156E2E"/>
    <w:rsid w:val="6AEB3727"/>
    <w:rsid w:val="6CBF390B"/>
    <w:rsid w:val="6E1C77FC"/>
    <w:rsid w:val="71DD7862"/>
    <w:rsid w:val="78980100"/>
    <w:rsid w:val="7EE03970"/>
    <w:rsid w:val="7F84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ind w:firstLine="420"/>
      <w:jc w:val="left"/>
    </w:pPr>
    <w:rPr>
      <w:rFonts w:eastAsia="楷体_GB2312"/>
      <w:sz w:val="24"/>
      <w:szCs w:val="20"/>
    </w:r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customStyle="1" w:styleId="12">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9"/>
    <w:link w:val="4"/>
    <w:autoRedefine/>
    <w:qFormat/>
    <w:uiPriority w:val="0"/>
    <w:rPr>
      <w:kern w:val="2"/>
      <w:sz w:val="18"/>
      <w:szCs w:val="18"/>
    </w:rPr>
  </w:style>
  <w:style w:type="character" w:customStyle="1" w:styleId="14">
    <w:name w:val="font61"/>
    <w:basedOn w:val="9"/>
    <w:autoRedefine/>
    <w:qFormat/>
    <w:uiPriority w:val="0"/>
    <w:rPr>
      <w:rFonts w:hint="eastAsia" w:ascii="仿宋" w:hAnsi="仿宋" w:eastAsia="仿宋" w:cs="仿宋"/>
      <w:color w:val="000000"/>
      <w:sz w:val="28"/>
      <w:szCs w:val="28"/>
      <w:u w:val="none"/>
    </w:rPr>
  </w:style>
  <w:style w:type="character" w:customStyle="1" w:styleId="15">
    <w:name w:val="font41"/>
    <w:basedOn w:val="9"/>
    <w:autoRedefine/>
    <w:qFormat/>
    <w:uiPriority w:val="0"/>
    <w:rPr>
      <w:rFonts w:hint="eastAsia" w:ascii="仿宋" w:hAnsi="仿宋" w:eastAsia="仿宋" w:cs="仿宋"/>
      <w:color w:val="000000"/>
      <w:sz w:val="24"/>
      <w:szCs w:val="24"/>
      <w:u w:val="none"/>
    </w:rPr>
  </w:style>
  <w:style w:type="character" w:customStyle="1" w:styleId="16">
    <w:name w:val="font11"/>
    <w:basedOn w:val="9"/>
    <w:autoRedefine/>
    <w:qFormat/>
    <w:uiPriority w:val="0"/>
    <w:rPr>
      <w:rFonts w:hint="eastAsia" w:ascii="仿宋" w:hAnsi="仿宋" w:eastAsia="仿宋" w:cs="仿宋"/>
      <w:color w:val="FF0000"/>
      <w:sz w:val="24"/>
      <w:szCs w:val="24"/>
      <w:u w:val="none"/>
    </w:rPr>
  </w:style>
  <w:style w:type="character" w:customStyle="1" w:styleId="17">
    <w:name w:val="font21"/>
    <w:basedOn w:val="9"/>
    <w:autoRedefine/>
    <w:qFormat/>
    <w:uiPriority w:val="0"/>
    <w:rPr>
      <w:rFonts w:hint="eastAsia" w:ascii="仿宋" w:hAnsi="仿宋" w:eastAsia="仿宋" w:cs="仿宋"/>
      <w:color w:val="000000"/>
      <w:sz w:val="24"/>
      <w:szCs w:val="24"/>
      <w:u w:val="none"/>
    </w:rPr>
  </w:style>
  <w:style w:type="character" w:customStyle="1" w:styleId="18">
    <w:name w:val="font71"/>
    <w:basedOn w:val="9"/>
    <w:autoRedefine/>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8956</Words>
  <Characters>9181</Characters>
  <Lines>75</Lines>
  <Paragraphs>21</Paragraphs>
  <TotalTime>3</TotalTime>
  <ScaleCrop>false</ScaleCrop>
  <LinksUpToDate>false</LinksUpToDate>
  <CharactersWithSpaces>9825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2022-07-31T05:29:00Z</dcterms:created>
  <dc:creator>gjxqzhb</dc:creator>
  <cp:lastModifiedBy>丽琼</cp:lastModifiedBy>
  <cp:lastPrinted>2025-06-04T01:02:00Z</cp:lastPrinted>
  <dcterms:modified xsi:type="dcterms:W3CDTF">2025-06-04T01:55:06Z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EFFC88B3010C4AB381B9A924B78314CF_13</vt:lpwstr>
  </property>
  <property fmtid="{D5CDD505-2E9C-101B-9397-08002B2CF9AE}" pid="4" name="KSOTemplateDocerSaveRecord">
    <vt:lpwstr>eyJoZGlkIjoiNmU1NDVlYzMzNzlkZjkzNDAxMDRhY2JhMWQxNzYyN2UiLCJ1c2VySWQiOiIxMjAzNzE3NTIzIn0=</vt:lpwstr>
  </property>
</Properties>
</file>