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C0C0F0">
      <w:pPr>
        <w:rPr>
          <w:rFonts w:eastAsia="仿宋_GB2312"/>
          <w:b/>
          <w:sz w:val="32"/>
          <w:szCs w:val="32"/>
        </w:rPr>
      </w:pPr>
      <w:r>
        <w:rPr>
          <w:rFonts w:eastAsia="仿宋_GB2312"/>
          <w:b/>
          <w:sz w:val="32"/>
          <w:szCs w:val="32"/>
        </w:rPr>
        <w:t>附件：</w:t>
      </w:r>
    </w:p>
    <w:p w14:paraId="61F8E271">
      <w:pPr>
        <w:ind w:firstLine="1"/>
        <w:jc w:val="center"/>
        <w:rPr>
          <w:rFonts w:eastAsia="仿宋_GB2312"/>
          <w:b/>
          <w:sz w:val="32"/>
          <w:szCs w:val="32"/>
        </w:rPr>
      </w:pPr>
      <w:r>
        <w:rPr>
          <w:rFonts w:eastAsia="仿宋_GB2312"/>
          <w:b/>
          <w:sz w:val="32"/>
          <w:szCs w:val="32"/>
        </w:rPr>
        <w:t>先进造纸联合实验室202</w:t>
      </w:r>
      <w:r>
        <w:rPr>
          <w:rFonts w:hint="eastAsia" w:eastAsia="仿宋_GB2312"/>
          <w:b/>
          <w:sz w:val="32"/>
          <w:szCs w:val="32"/>
          <w:lang w:val="en-US" w:eastAsia="zh-CN"/>
        </w:rPr>
        <w:t>6</w:t>
      </w:r>
      <w:r>
        <w:rPr>
          <w:rFonts w:eastAsia="仿宋_GB2312"/>
          <w:b/>
          <w:sz w:val="32"/>
          <w:szCs w:val="32"/>
        </w:rPr>
        <w:t>年度开放</w:t>
      </w:r>
      <w:r>
        <w:rPr>
          <w:rFonts w:hint="eastAsia" w:eastAsia="仿宋_GB2312"/>
          <w:b/>
          <w:sz w:val="32"/>
          <w:szCs w:val="32"/>
        </w:rPr>
        <w:t>课题</w:t>
      </w:r>
      <w:r>
        <w:rPr>
          <w:rFonts w:eastAsia="仿宋_GB2312"/>
          <w:b/>
          <w:sz w:val="32"/>
          <w:szCs w:val="32"/>
        </w:rPr>
        <w:t>拟资助清单</w:t>
      </w:r>
    </w:p>
    <w:p w14:paraId="1B3F1B16">
      <w:pPr>
        <w:snapToGrid w:val="0"/>
        <w:ind w:firstLine="560" w:firstLineChars="200"/>
        <w:rPr>
          <w:rFonts w:hint="eastAsia"/>
          <w:sz w:val="28"/>
          <w:szCs w:val="28"/>
        </w:rPr>
      </w:pPr>
    </w:p>
    <w:tbl>
      <w:tblPr>
        <w:tblStyle w:val="2"/>
        <w:tblW w:w="89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9"/>
        <w:gridCol w:w="4170"/>
        <w:gridCol w:w="1350"/>
        <w:gridCol w:w="2532"/>
      </w:tblGrid>
      <w:tr w14:paraId="16A67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869" w:type="dxa"/>
            <w:noWrap w:val="0"/>
            <w:vAlign w:val="center"/>
          </w:tcPr>
          <w:p w14:paraId="1A4CF37F">
            <w:pPr>
              <w:spacing w:line="500" w:lineRule="exact"/>
              <w:jc w:val="center"/>
              <w:rPr>
                <w:rFonts w:eastAsia="仿宋_GB2312"/>
                <w:b/>
                <w:sz w:val="28"/>
                <w:szCs w:val="28"/>
              </w:rPr>
            </w:pPr>
            <w:r>
              <w:rPr>
                <w:rFonts w:eastAsia="仿宋_GB2312"/>
                <w:b/>
                <w:sz w:val="28"/>
                <w:szCs w:val="28"/>
              </w:rPr>
              <w:t>序号</w:t>
            </w:r>
          </w:p>
        </w:tc>
        <w:tc>
          <w:tcPr>
            <w:tcW w:w="4170" w:type="dxa"/>
            <w:noWrap w:val="0"/>
            <w:vAlign w:val="center"/>
          </w:tcPr>
          <w:p w14:paraId="114E3563">
            <w:pPr>
              <w:spacing w:line="500" w:lineRule="exact"/>
              <w:jc w:val="center"/>
              <w:rPr>
                <w:rFonts w:eastAsia="仿宋_GB2312"/>
                <w:b/>
                <w:sz w:val="28"/>
                <w:szCs w:val="28"/>
              </w:rPr>
            </w:pPr>
            <w:r>
              <w:rPr>
                <w:rFonts w:eastAsia="仿宋_GB2312"/>
                <w:b/>
                <w:sz w:val="28"/>
                <w:szCs w:val="28"/>
              </w:rPr>
              <w:t>课题名称</w:t>
            </w:r>
          </w:p>
        </w:tc>
        <w:tc>
          <w:tcPr>
            <w:tcW w:w="1350" w:type="dxa"/>
            <w:noWrap w:val="0"/>
            <w:vAlign w:val="center"/>
          </w:tcPr>
          <w:p w14:paraId="39666468">
            <w:pPr>
              <w:spacing w:line="500" w:lineRule="exact"/>
              <w:jc w:val="center"/>
              <w:rPr>
                <w:rFonts w:eastAsia="仿宋_GB2312"/>
                <w:b/>
                <w:sz w:val="28"/>
                <w:szCs w:val="28"/>
              </w:rPr>
            </w:pPr>
            <w:r>
              <w:rPr>
                <w:rFonts w:eastAsia="仿宋_GB2312"/>
                <w:b/>
                <w:sz w:val="28"/>
                <w:szCs w:val="28"/>
              </w:rPr>
              <w:t>申请人</w:t>
            </w:r>
          </w:p>
        </w:tc>
        <w:tc>
          <w:tcPr>
            <w:tcW w:w="2532" w:type="dxa"/>
            <w:noWrap w:val="0"/>
            <w:vAlign w:val="center"/>
          </w:tcPr>
          <w:p w14:paraId="1683FA47">
            <w:pPr>
              <w:spacing w:line="500" w:lineRule="exact"/>
              <w:jc w:val="center"/>
              <w:rPr>
                <w:rFonts w:eastAsia="仿宋_GB2312"/>
                <w:b/>
                <w:sz w:val="28"/>
                <w:szCs w:val="28"/>
              </w:rPr>
            </w:pPr>
            <w:r>
              <w:rPr>
                <w:rFonts w:eastAsia="仿宋_GB2312"/>
                <w:b/>
                <w:sz w:val="28"/>
                <w:szCs w:val="28"/>
              </w:rPr>
              <w:t>工作单位</w:t>
            </w:r>
          </w:p>
        </w:tc>
      </w:tr>
      <w:tr w14:paraId="73D0B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jc w:val="center"/>
        </w:trPr>
        <w:tc>
          <w:tcPr>
            <w:tcW w:w="869" w:type="dxa"/>
            <w:noWrap w:val="0"/>
            <w:vAlign w:val="center"/>
          </w:tcPr>
          <w:p w14:paraId="5A05D1DE">
            <w:pPr>
              <w:spacing w:line="500" w:lineRule="exact"/>
              <w:jc w:val="center"/>
              <w:rPr>
                <w:rFonts w:eastAsia="仿宋_GB2312"/>
                <w:sz w:val="32"/>
                <w:szCs w:val="32"/>
              </w:rPr>
            </w:pPr>
            <w:r>
              <w:rPr>
                <w:rFonts w:eastAsia="仿宋_GB2312"/>
                <w:sz w:val="32"/>
                <w:szCs w:val="32"/>
              </w:rPr>
              <w:t>1</w:t>
            </w:r>
          </w:p>
        </w:tc>
        <w:tc>
          <w:tcPr>
            <w:tcW w:w="4170" w:type="dxa"/>
            <w:noWrap w:val="0"/>
            <w:vAlign w:val="center"/>
          </w:tcPr>
          <w:p w14:paraId="076C2E80">
            <w:pPr>
              <w:keepNext w:val="0"/>
              <w:keepLines w:val="0"/>
              <w:pageBreakBefore w:val="0"/>
              <w:widowControl w:val="0"/>
              <w:kinsoku/>
              <w:wordWrap/>
              <w:overflowPunct/>
              <w:topLinePunct w:val="0"/>
              <w:autoSpaceDE/>
              <w:autoSpaceDN/>
              <w:bidi w:val="0"/>
              <w:adjustRightInd/>
              <w:snapToGrid w:val="0"/>
              <w:jc w:val="center"/>
              <w:textAlignment w:val="auto"/>
              <w:rPr>
                <w:rFonts w:eastAsia="仿宋_GB2312"/>
                <w:sz w:val="28"/>
                <w:szCs w:val="28"/>
              </w:rPr>
            </w:pPr>
            <w:r>
              <w:rPr>
                <w:rFonts w:hint="eastAsia" w:eastAsia="仿宋_GB2312"/>
                <w:sz w:val="28"/>
                <w:szCs w:val="28"/>
              </w:rPr>
              <w:t>微纤化纤维素的形态特征调控及其对木质素纤维网络的界面增强机理</w:t>
            </w:r>
          </w:p>
        </w:tc>
        <w:tc>
          <w:tcPr>
            <w:tcW w:w="1350" w:type="dxa"/>
            <w:noWrap w:val="0"/>
            <w:vAlign w:val="center"/>
          </w:tcPr>
          <w:p w14:paraId="77EACF5E">
            <w:pPr>
              <w:keepNext w:val="0"/>
              <w:keepLines w:val="0"/>
              <w:pageBreakBefore w:val="0"/>
              <w:widowControl w:val="0"/>
              <w:kinsoku/>
              <w:wordWrap/>
              <w:overflowPunct/>
              <w:topLinePunct w:val="0"/>
              <w:autoSpaceDE/>
              <w:autoSpaceDN/>
              <w:bidi w:val="0"/>
              <w:adjustRightInd/>
              <w:snapToGrid w:val="0"/>
              <w:jc w:val="center"/>
              <w:textAlignment w:val="auto"/>
              <w:rPr>
                <w:rFonts w:eastAsia="仿宋_GB2312"/>
                <w:sz w:val="28"/>
                <w:szCs w:val="28"/>
              </w:rPr>
            </w:pPr>
            <w:r>
              <w:rPr>
                <w:rFonts w:hint="eastAsia" w:eastAsia="仿宋_GB2312"/>
                <w:sz w:val="28"/>
                <w:szCs w:val="28"/>
              </w:rPr>
              <w:t>方志强</w:t>
            </w:r>
          </w:p>
        </w:tc>
        <w:tc>
          <w:tcPr>
            <w:tcW w:w="2532" w:type="dxa"/>
            <w:noWrap w:val="0"/>
            <w:vAlign w:val="center"/>
          </w:tcPr>
          <w:p w14:paraId="54E8E6F0">
            <w:pPr>
              <w:keepNext w:val="0"/>
              <w:keepLines w:val="0"/>
              <w:pageBreakBefore w:val="0"/>
              <w:widowControl w:val="0"/>
              <w:kinsoku/>
              <w:wordWrap/>
              <w:overflowPunct/>
              <w:topLinePunct w:val="0"/>
              <w:autoSpaceDE/>
              <w:autoSpaceDN/>
              <w:bidi w:val="0"/>
              <w:adjustRightInd/>
              <w:snapToGrid w:val="0"/>
              <w:jc w:val="center"/>
              <w:textAlignment w:val="auto"/>
              <w:rPr>
                <w:rFonts w:eastAsia="仿宋_GB2312"/>
                <w:sz w:val="28"/>
                <w:szCs w:val="28"/>
              </w:rPr>
            </w:pPr>
            <w:r>
              <w:rPr>
                <w:rFonts w:hint="eastAsia" w:eastAsia="仿宋_GB2312"/>
                <w:sz w:val="28"/>
                <w:szCs w:val="28"/>
              </w:rPr>
              <w:t>华南理工大学</w:t>
            </w:r>
          </w:p>
        </w:tc>
      </w:tr>
      <w:tr w14:paraId="73F3E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869" w:type="dxa"/>
            <w:noWrap w:val="0"/>
            <w:vAlign w:val="center"/>
          </w:tcPr>
          <w:p w14:paraId="43C8783F">
            <w:pPr>
              <w:spacing w:line="500" w:lineRule="exact"/>
              <w:jc w:val="center"/>
              <w:rPr>
                <w:rFonts w:hint="eastAsia" w:ascii="Times New Roman" w:hAnsi="Times New Roman" w:eastAsia="仿宋_GB2312" w:cs="Times New Roman"/>
                <w:kern w:val="2"/>
                <w:sz w:val="32"/>
                <w:szCs w:val="32"/>
                <w:lang w:val="en-US" w:eastAsia="zh-CN" w:bidi="ar-SA"/>
              </w:rPr>
            </w:pPr>
            <w:r>
              <w:rPr>
                <w:rFonts w:hint="eastAsia" w:eastAsia="仿宋_GB2312"/>
                <w:sz w:val="32"/>
                <w:szCs w:val="32"/>
                <w:lang w:val="en-US" w:eastAsia="zh-CN"/>
              </w:rPr>
              <w:t>2</w:t>
            </w:r>
          </w:p>
        </w:tc>
        <w:tc>
          <w:tcPr>
            <w:tcW w:w="4170" w:type="dxa"/>
            <w:noWrap w:val="0"/>
            <w:vAlign w:val="center"/>
          </w:tcPr>
          <w:p w14:paraId="6DF4C73F">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Times New Roman" w:hAnsi="Times New Roman" w:eastAsia="仿宋_GB2312" w:cs="Times New Roman"/>
                <w:kern w:val="2"/>
                <w:sz w:val="28"/>
                <w:szCs w:val="28"/>
                <w:lang w:val="en-US" w:eastAsia="zh-CN" w:bidi="ar-SA"/>
              </w:rPr>
            </w:pPr>
            <w:r>
              <w:rPr>
                <w:rFonts w:hint="eastAsia" w:ascii="Times New Roman" w:hAnsi="Times New Roman" w:eastAsia="仿宋_GB2312" w:cs="Times New Roman"/>
                <w:kern w:val="2"/>
                <w:sz w:val="28"/>
                <w:szCs w:val="28"/>
                <w:lang w:val="en-US" w:eastAsia="zh-CN" w:bidi="ar-SA"/>
              </w:rPr>
              <w:t>Am-PVAm/PAE/天然高分子三元纸张增强体系构建及机理研究</w:t>
            </w:r>
          </w:p>
        </w:tc>
        <w:tc>
          <w:tcPr>
            <w:tcW w:w="1350" w:type="dxa"/>
            <w:noWrap w:val="0"/>
            <w:vAlign w:val="center"/>
          </w:tcPr>
          <w:p w14:paraId="4269D4AC">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Times New Roman" w:hAnsi="Times New Roman" w:eastAsia="仿宋_GB2312" w:cs="Times New Roman"/>
                <w:kern w:val="2"/>
                <w:sz w:val="28"/>
                <w:szCs w:val="28"/>
                <w:lang w:val="en-US" w:eastAsia="zh-CN" w:bidi="ar-SA"/>
              </w:rPr>
            </w:pPr>
            <w:r>
              <w:rPr>
                <w:rFonts w:hint="eastAsia" w:ascii="Times New Roman" w:hAnsi="Times New Roman" w:eastAsia="仿宋_GB2312" w:cs="Times New Roman"/>
                <w:kern w:val="2"/>
                <w:sz w:val="28"/>
                <w:szCs w:val="28"/>
                <w:lang w:val="en-US" w:eastAsia="zh-CN" w:bidi="ar-SA"/>
              </w:rPr>
              <w:t>吴赟</w:t>
            </w:r>
          </w:p>
        </w:tc>
        <w:tc>
          <w:tcPr>
            <w:tcW w:w="2532" w:type="dxa"/>
            <w:noWrap w:val="0"/>
            <w:vAlign w:val="center"/>
          </w:tcPr>
          <w:p w14:paraId="05DE6518">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Times New Roman" w:hAnsi="Times New Roman" w:eastAsia="仿宋_GB2312" w:cs="Times New Roman"/>
                <w:kern w:val="2"/>
                <w:sz w:val="28"/>
                <w:szCs w:val="28"/>
                <w:lang w:val="en-US" w:eastAsia="zh-CN" w:bidi="ar-SA"/>
              </w:rPr>
            </w:pPr>
            <w:r>
              <w:rPr>
                <w:rFonts w:hint="eastAsia" w:ascii="Times New Roman" w:hAnsi="Times New Roman" w:eastAsia="仿宋_GB2312" w:cs="Times New Roman"/>
                <w:kern w:val="2"/>
                <w:sz w:val="28"/>
                <w:szCs w:val="28"/>
                <w:lang w:val="en-US" w:eastAsia="zh-CN" w:bidi="ar-SA"/>
              </w:rPr>
              <w:t>江南大学</w:t>
            </w:r>
          </w:p>
        </w:tc>
      </w:tr>
      <w:tr w14:paraId="5BDC4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869" w:type="dxa"/>
            <w:noWrap w:val="0"/>
            <w:vAlign w:val="center"/>
          </w:tcPr>
          <w:p w14:paraId="38D6E0A9">
            <w:pPr>
              <w:spacing w:line="500" w:lineRule="exact"/>
              <w:jc w:val="center"/>
              <w:rPr>
                <w:rFonts w:hint="eastAsia" w:eastAsia="仿宋_GB2312"/>
                <w:sz w:val="32"/>
                <w:szCs w:val="32"/>
                <w:lang w:eastAsia="zh-CN"/>
              </w:rPr>
            </w:pPr>
            <w:r>
              <w:rPr>
                <w:rFonts w:hint="eastAsia" w:eastAsia="仿宋_GB2312"/>
                <w:sz w:val="32"/>
                <w:szCs w:val="32"/>
                <w:lang w:val="en-US" w:eastAsia="zh-CN"/>
              </w:rPr>
              <w:t>3</w:t>
            </w:r>
          </w:p>
        </w:tc>
        <w:tc>
          <w:tcPr>
            <w:tcW w:w="4170" w:type="dxa"/>
            <w:noWrap w:val="0"/>
            <w:vAlign w:val="center"/>
          </w:tcPr>
          <w:p w14:paraId="0CCDCCAE">
            <w:pPr>
              <w:keepNext w:val="0"/>
              <w:keepLines w:val="0"/>
              <w:pageBreakBefore w:val="0"/>
              <w:widowControl w:val="0"/>
              <w:kinsoku/>
              <w:wordWrap/>
              <w:overflowPunct/>
              <w:topLinePunct w:val="0"/>
              <w:autoSpaceDE/>
              <w:autoSpaceDN/>
              <w:bidi w:val="0"/>
              <w:adjustRightInd/>
              <w:snapToGrid w:val="0"/>
              <w:jc w:val="center"/>
              <w:textAlignment w:val="auto"/>
              <w:rPr>
                <w:rFonts w:eastAsia="仿宋_GB2312"/>
                <w:sz w:val="28"/>
                <w:szCs w:val="28"/>
              </w:rPr>
            </w:pPr>
            <w:r>
              <w:rPr>
                <w:rFonts w:hint="eastAsia" w:eastAsia="仿宋_GB2312"/>
                <w:sz w:val="28"/>
                <w:szCs w:val="28"/>
              </w:rPr>
              <w:t>造纸功能纤维用浅色磁材料的制备技术研究</w:t>
            </w:r>
          </w:p>
        </w:tc>
        <w:tc>
          <w:tcPr>
            <w:tcW w:w="1350" w:type="dxa"/>
            <w:noWrap w:val="0"/>
            <w:vAlign w:val="center"/>
          </w:tcPr>
          <w:p w14:paraId="5455DFF9">
            <w:pPr>
              <w:keepNext w:val="0"/>
              <w:keepLines w:val="0"/>
              <w:pageBreakBefore w:val="0"/>
              <w:widowControl w:val="0"/>
              <w:kinsoku/>
              <w:wordWrap/>
              <w:overflowPunct/>
              <w:topLinePunct w:val="0"/>
              <w:autoSpaceDE/>
              <w:autoSpaceDN/>
              <w:bidi w:val="0"/>
              <w:adjustRightInd/>
              <w:snapToGrid w:val="0"/>
              <w:jc w:val="center"/>
              <w:textAlignment w:val="auto"/>
              <w:rPr>
                <w:rFonts w:eastAsia="仿宋_GB2312"/>
                <w:sz w:val="28"/>
                <w:szCs w:val="28"/>
              </w:rPr>
            </w:pPr>
            <w:r>
              <w:rPr>
                <w:rFonts w:hint="eastAsia" w:eastAsia="仿宋_GB2312"/>
                <w:sz w:val="28"/>
                <w:szCs w:val="28"/>
              </w:rPr>
              <w:t>李小林</w:t>
            </w:r>
          </w:p>
        </w:tc>
        <w:tc>
          <w:tcPr>
            <w:tcW w:w="2532" w:type="dxa"/>
            <w:noWrap w:val="0"/>
            <w:vAlign w:val="center"/>
          </w:tcPr>
          <w:p w14:paraId="57FDBD8A">
            <w:pPr>
              <w:keepNext w:val="0"/>
              <w:keepLines w:val="0"/>
              <w:pageBreakBefore w:val="0"/>
              <w:widowControl w:val="0"/>
              <w:kinsoku/>
              <w:wordWrap/>
              <w:overflowPunct/>
              <w:topLinePunct w:val="0"/>
              <w:autoSpaceDE/>
              <w:autoSpaceDN/>
              <w:bidi w:val="0"/>
              <w:adjustRightInd/>
              <w:snapToGrid w:val="0"/>
              <w:jc w:val="center"/>
              <w:textAlignment w:val="auto"/>
              <w:rPr>
                <w:rFonts w:eastAsia="仿宋_GB2312"/>
                <w:sz w:val="28"/>
                <w:szCs w:val="28"/>
              </w:rPr>
            </w:pPr>
            <w:r>
              <w:rPr>
                <w:rFonts w:hint="eastAsia" w:eastAsia="仿宋_GB2312"/>
                <w:sz w:val="28"/>
                <w:szCs w:val="28"/>
              </w:rPr>
              <w:t>保定乐凯新材料科技有限公司</w:t>
            </w:r>
          </w:p>
        </w:tc>
      </w:tr>
      <w:tr w14:paraId="49B71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869" w:type="dxa"/>
            <w:noWrap w:val="0"/>
            <w:vAlign w:val="center"/>
          </w:tcPr>
          <w:p w14:paraId="1717E6F3">
            <w:pPr>
              <w:spacing w:line="500" w:lineRule="exact"/>
              <w:jc w:val="center"/>
              <w:rPr>
                <w:rFonts w:hint="default" w:eastAsia="仿宋_GB2312"/>
                <w:sz w:val="32"/>
                <w:szCs w:val="32"/>
                <w:lang w:val="en-US" w:eastAsia="zh-CN"/>
              </w:rPr>
            </w:pPr>
            <w:r>
              <w:rPr>
                <w:rFonts w:hint="eastAsia" w:eastAsia="仿宋_GB2312"/>
                <w:sz w:val="32"/>
                <w:szCs w:val="32"/>
                <w:lang w:val="en-US" w:eastAsia="zh-CN"/>
              </w:rPr>
              <w:t>4</w:t>
            </w:r>
          </w:p>
        </w:tc>
        <w:tc>
          <w:tcPr>
            <w:tcW w:w="4170" w:type="dxa"/>
            <w:noWrap w:val="0"/>
            <w:vAlign w:val="center"/>
          </w:tcPr>
          <w:p w14:paraId="797E80DE">
            <w:pPr>
              <w:keepNext w:val="0"/>
              <w:keepLines w:val="0"/>
              <w:pageBreakBefore w:val="0"/>
              <w:widowControl w:val="0"/>
              <w:kinsoku/>
              <w:wordWrap/>
              <w:overflowPunct/>
              <w:topLinePunct w:val="0"/>
              <w:autoSpaceDE/>
              <w:autoSpaceDN/>
              <w:bidi w:val="0"/>
              <w:adjustRightInd/>
              <w:snapToGrid w:val="0"/>
              <w:jc w:val="center"/>
              <w:textAlignment w:val="auto"/>
              <w:rPr>
                <w:rFonts w:hint="eastAsia" w:eastAsia="仿宋_GB2312"/>
                <w:sz w:val="28"/>
                <w:szCs w:val="28"/>
              </w:rPr>
            </w:pPr>
            <w:r>
              <w:rPr>
                <w:rFonts w:hint="eastAsia" w:eastAsia="仿宋_GB2312"/>
                <w:sz w:val="28"/>
                <w:szCs w:val="28"/>
              </w:rPr>
              <w:t>纸基防伪标签用压敏胶设计合成及应用技术研究</w:t>
            </w:r>
          </w:p>
        </w:tc>
        <w:tc>
          <w:tcPr>
            <w:tcW w:w="1350" w:type="dxa"/>
            <w:noWrap w:val="0"/>
            <w:vAlign w:val="center"/>
          </w:tcPr>
          <w:p w14:paraId="19273E1D">
            <w:pPr>
              <w:keepNext w:val="0"/>
              <w:keepLines w:val="0"/>
              <w:pageBreakBefore w:val="0"/>
              <w:widowControl w:val="0"/>
              <w:kinsoku/>
              <w:wordWrap/>
              <w:overflowPunct/>
              <w:topLinePunct w:val="0"/>
              <w:autoSpaceDE/>
              <w:autoSpaceDN/>
              <w:bidi w:val="0"/>
              <w:adjustRightInd/>
              <w:snapToGrid w:val="0"/>
              <w:jc w:val="center"/>
              <w:textAlignment w:val="auto"/>
              <w:rPr>
                <w:rFonts w:hint="eastAsia" w:eastAsia="仿宋_GB2312"/>
                <w:sz w:val="28"/>
                <w:szCs w:val="28"/>
              </w:rPr>
            </w:pPr>
            <w:r>
              <w:rPr>
                <w:rFonts w:hint="eastAsia" w:eastAsia="仿宋_GB2312"/>
                <w:sz w:val="28"/>
                <w:szCs w:val="28"/>
              </w:rPr>
              <w:t>李永杰</w:t>
            </w:r>
          </w:p>
        </w:tc>
        <w:tc>
          <w:tcPr>
            <w:tcW w:w="2532" w:type="dxa"/>
            <w:noWrap w:val="0"/>
            <w:vAlign w:val="center"/>
          </w:tcPr>
          <w:p w14:paraId="1F971019">
            <w:pPr>
              <w:keepNext w:val="0"/>
              <w:keepLines w:val="0"/>
              <w:pageBreakBefore w:val="0"/>
              <w:widowControl w:val="0"/>
              <w:kinsoku/>
              <w:wordWrap/>
              <w:overflowPunct/>
              <w:topLinePunct w:val="0"/>
              <w:autoSpaceDE/>
              <w:autoSpaceDN/>
              <w:bidi w:val="0"/>
              <w:adjustRightInd/>
              <w:snapToGrid w:val="0"/>
              <w:jc w:val="center"/>
              <w:textAlignment w:val="auto"/>
              <w:rPr>
                <w:rFonts w:hint="eastAsia" w:eastAsia="仿宋_GB2312"/>
                <w:sz w:val="28"/>
                <w:szCs w:val="28"/>
              </w:rPr>
            </w:pPr>
            <w:r>
              <w:rPr>
                <w:rFonts w:hint="eastAsia" w:eastAsia="仿宋_GB2312"/>
                <w:sz w:val="28"/>
                <w:szCs w:val="28"/>
              </w:rPr>
              <w:t>中国乐凯集团</w:t>
            </w:r>
          </w:p>
        </w:tc>
      </w:tr>
      <w:tr w14:paraId="32A88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869" w:type="dxa"/>
            <w:noWrap w:val="0"/>
            <w:vAlign w:val="center"/>
          </w:tcPr>
          <w:p w14:paraId="652A5CB4">
            <w:pPr>
              <w:spacing w:line="500" w:lineRule="exact"/>
              <w:jc w:val="center"/>
              <w:rPr>
                <w:rFonts w:hint="default" w:eastAsia="仿宋_GB2312"/>
                <w:sz w:val="32"/>
                <w:szCs w:val="32"/>
                <w:lang w:val="en-US" w:eastAsia="zh-CN"/>
              </w:rPr>
            </w:pPr>
            <w:r>
              <w:rPr>
                <w:rFonts w:hint="eastAsia" w:eastAsia="仿宋_GB2312"/>
                <w:sz w:val="32"/>
                <w:szCs w:val="32"/>
                <w:lang w:val="en-US" w:eastAsia="zh-CN"/>
              </w:rPr>
              <w:t>5</w:t>
            </w:r>
          </w:p>
        </w:tc>
        <w:tc>
          <w:tcPr>
            <w:tcW w:w="4170" w:type="dxa"/>
            <w:noWrap w:val="0"/>
            <w:vAlign w:val="center"/>
          </w:tcPr>
          <w:p w14:paraId="095F666E">
            <w:pPr>
              <w:keepNext w:val="0"/>
              <w:keepLines w:val="0"/>
              <w:pageBreakBefore w:val="0"/>
              <w:widowControl w:val="0"/>
              <w:kinsoku/>
              <w:wordWrap/>
              <w:overflowPunct/>
              <w:topLinePunct w:val="0"/>
              <w:autoSpaceDE/>
              <w:autoSpaceDN/>
              <w:bidi w:val="0"/>
              <w:adjustRightInd/>
              <w:snapToGrid w:val="0"/>
              <w:jc w:val="center"/>
              <w:textAlignment w:val="auto"/>
              <w:rPr>
                <w:rFonts w:hint="eastAsia" w:eastAsia="仿宋_GB2312"/>
                <w:sz w:val="28"/>
                <w:szCs w:val="28"/>
              </w:rPr>
            </w:pPr>
            <w:r>
              <w:rPr>
                <w:rFonts w:hint="eastAsia" w:eastAsia="仿宋_GB2312"/>
                <w:sz w:val="28"/>
                <w:szCs w:val="28"/>
              </w:rPr>
              <w:t>汉麻纤维脱胶及纸钞原纸制浆应用研究</w:t>
            </w:r>
          </w:p>
        </w:tc>
        <w:tc>
          <w:tcPr>
            <w:tcW w:w="1350" w:type="dxa"/>
            <w:noWrap w:val="0"/>
            <w:vAlign w:val="center"/>
          </w:tcPr>
          <w:p w14:paraId="742F5870">
            <w:pPr>
              <w:keepNext w:val="0"/>
              <w:keepLines w:val="0"/>
              <w:pageBreakBefore w:val="0"/>
              <w:widowControl w:val="0"/>
              <w:kinsoku/>
              <w:wordWrap/>
              <w:overflowPunct/>
              <w:topLinePunct w:val="0"/>
              <w:autoSpaceDE/>
              <w:autoSpaceDN/>
              <w:bidi w:val="0"/>
              <w:adjustRightInd/>
              <w:snapToGrid w:val="0"/>
              <w:jc w:val="center"/>
              <w:textAlignment w:val="auto"/>
              <w:rPr>
                <w:rFonts w:hint="eastAsia" w:eastAsia="仿宋_GB2312"/>
                <w:sz w:val="28"/>
                <w:szCs w:val="28"/>
              </w:rPr>
            </w:pPr>
            <w:r>
              <w:rPr>
                <w:rFonts w:hint="eastAsia" w:eastAsia="仿宋_GB2312"/>
                <w:sz w:val="28"/>
                <w:szCs w:val="28"/>
              </w:rPr>
              <w:t>孙颖</w:t>
            </w:r>
          </w:p>
        </w:tc>
        <w:tc>
          <w:tcPr>
            <w:tcW w:w="2532" w:type="dxa"/>
            <w:noWrap w:val="0"/>
            <w:vAlign w:val="center"/>
          </w:tcPr>
          <w:p w14:paraId="7D93E09D">
            <w:pPr>
              <w:keepNext w:val="0"/>
              <w:keepLines w:val="0"/>
              <w:pageBreakBefore w:val="0"/>
              <w:widowControl w:val="0"/>
              <w:kinsoku/>
              <w:wordWrap/>
              <w:overflowPunct/>
              <w:topLinePunct w:val="0"/>
              <w:autoSpaceDE/>
              <w:autoSpaceDN/>
              <w:bidi w:val="0"/>
              <w:adjustRightInd/>
              <w:snapToGrid w:val="0"/>
              <w:jc w:val="center"/>
              <w:textAlignment w:val="auto"/>
              <w:rPr>
                <w:rFonts w:hint="eastAsia" w:eastAsia="仿宋_GB2312"/>
                <w:sz w:val="28"/>
                <w:szCs w:val="28"/>
              </w:rPr>
            </w:pPr>
            <w:r>
              <w:rPr>
                <w:rFonts w:hint="eastAsia" w:eastAsia="仿宋_GB2312"/>
                <w:sz w:val="28"/>
                <w:szCs w:val="28"/>
              </w:rPr>
              <w:t>齐齐哈尔大学</w:t>
            </w:r>
          </w:p>
        </w:tc>
      </w:tr>
    </w:tbl>
    <w:p w14:paraId="4FCD99E1">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汉仪劲楷简">
    <w:panose1 w:val="00020600040101010101"/>
    <w:charset w:val="86"/>
    <w:family w:val="auto"/>
    <w:pitch w:val="default"/>
    <w:sig w:usb0="A00002BF" w:usb1="18EF7CFA" w:usb2="00000016"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OWU4MGUzOTExYmVlN2Q2MjY0ZGJhOTM5NGYwYzgifQ=="/>
  </w:docVars>
  <w:rsids>
    <w:rsidRoot w:val="00000000"/>
    <w:rsid w:val="1AAD0190"/>
    <w:rsid w:val="29094138"/>
    <w:rsid w:val="56AE50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164</Words>
  <Characters>167</Characters>
  <Lines>0</Lines>
  <Paragraphs>0</Paragraphs>
  <TotalTime>4</TotalTime>
  <ScaleCrop>false</ScaleCrop>
  <LinksUpToDate>false</LinksUpToDate>
  <CharactersWithSpaces>169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2024-08-13T07:46:00Z</dcterms:created>
  <dc:creator>Administrator</dc:creator>
  <cp:lastModifiedBy>马雪晴</cp:lastModifiedBy>
  <dcterms:modified xsi:type="dcterms:W3CDTF">2026-09-28T01:12:03Z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235AAD716E9E48DCA4B0333567FEF8DE_12</vt:lpwstr>
  </property>
  <property fmtid="{D5CDD505-2E9C-101B-9397-08002B2CF9AE}" pid="4" name="KSOTemplateDocerSaveRecord">
    <vt:lpwstr>eyJoZGlkIjoiZDcxOWU4MGUzOTExYmVlN2Q2MjY0ZGJhOTM5NGYwYzgiLCJ1c2VySWQiOiIxNzI3OTA0NzMyIn0=</vt:lpwstr>
  </property>
</Properties>
</file>