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1A" w:rsidRPr="00FA7061" w:rsidRDefault="00712F1A" w:rsidP="00FA7061">
      <w:pPr>
        <w:rPr>
          <w:rFonts w:ascii="宋体" w:hAnsi="宋体"/>
          <w:b/>
          <w:szCs w:val="21"/>
        </w:rPr>
      </w:pPr>
      <w:r w:rsidRPr="00FA7061">
        <w:rPr>
          <w:rFonts w:ascii="宋体" w:hAnsi="宋体" w:hint="eastAsia"/>
          <w:b/>
          <w:szCs w:val="21"/>
        </w:rPr>
        <w:t>附</w:t>
      </w:r>
      <w:r w:rsidRPr="00FA7061">
        <w:rPr>
          <w:rFonts w:ascii="宋体" w:hAnsi="宋体"/>
          <w:b/>
          <w:szCs w:val="21"/>
        </w:rPr>
        <w:t>1</w:t>
      </w:r>
    </w:p>
    <w:p w:rsidR="00712F1A" w:rsidRDefault="00712F1A" w:rsidP="00FD1292">
      <w:pPr>
        <w:jc w:val="center"/>
        <w:rPr>
          <w:b/>
          <w:sz w:val="28"/>
          <w:szCs w:val="28"/>
        </w:rPr>
      </w:pPr>
      <w:r w:rsidRPr="00D9029C">
        <w:rPr>
          <w:rFonts w:hint="eastAsia"/>
          <w:b/>
          <w:sz w:val="28"/>
          <w:szCs w:val="28"/>
        </w:rPr>
        <w:t>广东省教育教学成果奖培育项目资助名单</w:t>
      </w:r>
    </w:p>
    <w:p w:rsidR="00712F1A" w:rsidRPr="00D9029C" w:rsidRDefault="00712F1A" w:rsidP="00FD1292">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237"/>
        <w:gridCol w:w="1468"/>
      </w:tblGrid>
      <w:tr w:rsidR="00712F1A" w:rsidRPr="003841D4" w:rsidTr="00FD1292">
        <w:trPr>
          <w:tblHeader/>
        </w:trPr>
        <w:tc>
          <w:tcPr>
            <w:tcW w:w="817" w:type="dxa"/>
            <w:vAlign w:val="center"/>
          </w:tcPr>
          <w:p w:rsidR="00712F1A" w:rsidRPr="003841D4" w:rsidRDefault="00712F1A" w:rsidP="00627C83">
            <w:pPr>
              <w:spacing w:line="300" w:lineRule="auto"/>
              <w:jc w:val="center"/>
              <w:rPr>
                <w:rFonts w:ascii="宋体"/>
                <w:szCs w:val="21"/>
              </w:rPr>
            </w:pPr>
            <w:r w:rsidRPr="003841D4">
              <w:rPr>
                <w:rFonts w:ascii="宋体" w:hAnsi="宋体" w:hint="eastAsia"/>
                <w:szCs w:val="21"/>
              </w:rPr>
              <w:t>序号</w:t>
            </w:r>
          </w:p>
        </w:tc>
        <w:tc>
          <w:tcPr>
            <w:tcW w:w="6237" w:type="dxa"/>
            <w:vAlign w:val="center"/>
          </w:tcPr>
          <w:p w:rsidR="00712F1A" w:rsidRPr="003841D4" w:rsidRDefault="00712F1A" w:rsidP="00627C83">
            <w:pPr>
              <w:spacing w:line="300" w:lineRule="auto"/>
              <w:jc w:val="center"/>
              <w:rPr>
                <w:rFonts w:ascii="宋体"/>
                <w:szCs w:val="21"/>
              </w:rPr>
            </w:pPr>
            <w:r w:rsidRPr="003841D4">
              <w:rPr>
                <w:rFonts w:ascii="宋体" w:hAnsi="宋体" w:hint="eastAsia"/>
                <w:szCs w:val="21"/>
              </w:rPr>
              <w:t>项目名称</w:t>
            </w:r>
          </w:p>
        </w:tc>
        <w:tc>
          <w:tcPr>
            <w:tcW w:w="1468" w:type="dxa"/>
            <w:vAlign w:val="center"/>
          </w:tcPr>
          <w:p w:rsidR="00712F1A" w:rsidRPr="003841D4" w:rsidRDefault="00712F1A" w:rsidP="00627C83">
            <w:pPr>
              <w:spacing w:line="300" w:lineRule="auto"/>
              <w:jc w:val="center"/>
              <w:rPr>
                <w:rFonts w:ascii="宋体"/>
                <w:szCs w:val="21"/>
              </w:rPr>
            </w:pPr>
            <w:r w:rsidRPr="003841D4">
              <w:rPr>
                <w:rFonts w:ascii="宋体" w:hAnsi="宋体" w:hint="eastAsia"/>
                <w:szCs w:val="21"/>
              </w:rPr>
              <w:t>项目负责人</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优化整合资源，创新体制机制，培养拔尖创新人才</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王迎军</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研究型大学国际化人才培养的研究与实践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邱学青</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3</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面向国际化的城市设计型建筑创新人才培育改革与实践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孙一民</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4</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土木工程卓越工程师全英专业人才培养探索与实践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苏成</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5</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机械类综合型人才协同创新培养模式的改革</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张宪民</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6</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深化专业综合改革，创新环境类人才培养体系</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朱能武</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7</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依托教学团队，实施“以生为本，多元融合”的大学数学教育改革</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朱长江</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8</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计算机创新人才培养模式的探索与实践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韩国强</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9</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基于设计任务驱动的机械类课程改革</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李琳</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10</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研究型大学“五位一体”本科教学质量保障体系的探索与实践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李正</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11</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卓越法律人才培养模式的实践与探索</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夏正林</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12</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面向国际化卓越工程师培养的化工原理课程建设与改革</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钟理</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13</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构建多元化集成教学资源平台，创新人才培养模式</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左保河</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14</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材料类本硕博创新人才培养的探索与实践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殷素红</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15</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构建“六个融合”的多元化《工程图学》教学模式探索与实践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王枫红</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16</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商务英语专业人才培养模式的创新与改革</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钟书能</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17</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融通式人文通识教育的研究与实践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曹智频</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18</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基于“双导师”制的本科生实习体系建构</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刘善仕</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19</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以学生为中心多模式、多通道、分类培养模式的探索与实践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李斌</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20</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面向区域行业发展的食品专业校企协同创新实践教学模式研究与实践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曾新安</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21</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实践驱动的卓越人才培养课程体系的研究与构建</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项聪</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22</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执业导向的城乡规划原理课程建设与改革</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王世福</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23</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土木工程卓越工程师创新型人才培养模式</w:t>
            </w:r>
            <w:r w:rsidRPr="003841D4">
              <w:rPr>
                <w:rFonts w:ascii="宋体" w:hAnsi="宋体"/>
                <w:szCs w:val="21"/>
              </w:rPr>
              <w:t>——</w:t>
            </w:r>
            <w:r w:rsidRPr="003841D4">
              <w:rPr>
                <w:rFonts w:ascii="宋体" w:hAnsi="宋体" w:hint="eastAsia"/>
                <w:szCs w:val="21"/>
              </w:rPr>
              <w:t>校企实训基地体系构建</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王湛</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24</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构建多元化教学与实践体系培养创新型应用数学人才</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吴敏</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25</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“马克思主义理论与实践”创新机制的研究与实践</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刘社欣</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26</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自主学习、互动探索式“高分子物理”动态教学平台的建设与应用评价</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童真</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27</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轻化工程专业综合改革与工程实践能力培养模式研究</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陈广学</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28</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“图书馆式”工程训练中心管理体系建设</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郑志军</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29</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大学生创业创新教育的实践和探索</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刘志超</w:t>
            </w:r>
          </w:p>
        </w:tc>
      </w:tr>
      <w:tr w:rsidR="00712F1A" w:rsidRPr="003841D4" w:rsidTr="00FD1292">
        <w:trPr>
          <w:tblHeader/>
        </w:trPr>
        <w:tc>
          <w:tcPr>
            <w:tcW w:w="817" w:type="dxa"/>
            <w:vAlign w:val="center"/>
          </w:tcPr>
          <w:p w:rsidR="00712F1A" w:rsidRPr="003841D4" w:rsidRDefault="00712F1A" w:rsidP="00627C83">
            <w:pPr>
              <w:jc w:val="center"/>
              <w:rPr>
                <w:rFonts w:ascii="宋体" w:cs="宋体"/>
                <w:szCs w:val="21"/>
              </w:rPr>
            </w:pPr>
            <w:r w:rsidRPr="003841D4">
              <w:rPr>
                <w:rFonts w:ascii="宋体" w:hAnsi="宋体"/>
                <w:szCs w:val="21"/>
              </w:rPr>
              <w:t>30</w:t>
            </w:r>
          </w:p>
        </w:tc>
        <w:tc>
          <w:tcPr>
            <w:tcW w:w="6237" w:type="dxa"/>
            <w:vAlign w:val="center"/>
          </w:tcPr>
          <w:p w:rsidR="00712F1A" w:rsidRPr="003841D4" w:rsidRDefault="00712F1A" w:rsidP="00627C83">
            <w:pPr>
              <w:rPr>
                <w:rFonts w:ascii="宋体" w:cs="宋体"/>
                <w:szCs w:val="21"/>
              </w:rPr>
            </w:pPr>
            <w:r w:rsidRPr="003841D4">
              <w:rPr>
                <w:rFonts w:ascii="宋体" w:hAnsi="宋体" w:hint="eastAsia"/>
                <w:szCs w:val="21"/>
              </w:rPr>
              <w:t>“三线实践”：工科高校行政管理专业实践教学模式的探索与实施</w:t>
            </w:r>
          </w:p>
        </w:tc>
        <w:tc>
          <w:tcPr>
            <w:tcW w:w="1468" w:type="dxa"/>
            <w:vAlign w:val="center"/>
          </w:tcPr>
          <w:p w:rsidR="00712F1A" w:rsidRPr="003841D4" w:rsidRDefault="00712F1A" w:rsidP="00627C83">
            <w:pPr>
              <w:jc w:val="center"/>
              <w:rPr>
                <w:rFonts w:ascii="宋体" w:cs="宋体"/>
                <w:szCs w:val="21"/>
              </w:rPr>
            </w:pPr>
            <w:r w:rsidRPr="003841D4">
              <w:rPr>
                <w:rFonts w:ascii="宋体" w:hAnsi="宋体" w:hint="eastAsia"/>
                <w:szCs w:val="21"/>
              </w:rPr>
              <w:t>范旭</w:t>
            </w:r>
          </w:p>
        </w:tc>
      </w:tr>
    </w:tbl>
    <w:p w:rsidR="00712F1A" w:rsidRDefault="00712F1A"/>
    <w:sectPr w:rsidR="00712F1A" w:rsidSect="00B765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F1A" w:rsidRDefault="00712F1A" w:rsidP="00FD1292">
      <w:r>
        <w:separator/>
      </w:r>
    </w:p>
  </w:endnote>
  <w:endnote w:type="continuationSeparator" w:id="0">
    <w:p w:rsidR="00712F1A" w:rsidRDefault="00712F1A" w:rsidP="00FD12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F1A" w:rsidRDefault="00712F1A" w:rsidP="00FD1292">
      <w:r>
        <w:separator/>
      </w:r>
    </w:p>
  </w:footnote>
  <w:footnote w:type="continuationSeparator" w:id="0">
    <w:p w:rsidR="00712F1A" w:rsidRDefault="00712F1A" w:rsidP="00FD1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292"/>
    <w:rsid w:val="003841D4"/>
    <w:rsid w:val="00560DCB"/>
    <w:rsid w:val="0060672B"/>
    <w:rsid w:val="00627C83"/>
    <w:rsid w:val="00712F1A"/>
    <w:rsid w:val="00916D8A"/>
    <w:rsid w:val="00B325AF"/>
    <w:rsid w:val="00B749C5"/>
    <w:rsid w:val="00B765CE"/>
    <w:rsid w:val="00BE37F2"/>
    <w:rsid w:val="00CE0D23"/>
    <w:rsid w:val="00D9029C"/>
    <w:rsid w:val="00FA7061"/>
    <w:rsid w:val="00FD1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292"/>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129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FD1292"/>
    <w:rPr>
      <w:rFonts w:cs="Times New Roman"/>
      <w:sz w:val="18"/>
      <w:szCs w:val="18"/>
    </w:rPr>
  </w:style>
  <w:style w:type="paragraph" w:styleId="Footer">
    <w:name w:val="footer"/>
    <w:basedOn w:val="Normal"/>
    <w:link w:val="FooterChar"/>
    <w:uiPriority w:val="99"/>
    <w:semiHidden/>
    <w:rsid w:val="00FD1292"/>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FD129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141</Words>
  <Characters>807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China</cp:lastModifiedBy>
  <cp:revision>5</cp:revision>
  <dcterms:created xsi:type="dcterms:W3CDTF">2015-03-06T08:11:00Z</dcterms:created>
  <dcterms:modified xsi:type="dcterms:W3CDTF">2015-03-13T08:11:00Z</dcterms:modified>
</cp:coreProperties>
</file>