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AA76" w14:textId="77777777" w:rsidR="00A645F1" w:rsidRDefault="00953C9B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附件4</w:t>
      </w:r>
    </w:p>
    <w:p w14:paraId="4CAF5472" w14:textId="77777777" w:rsidR="00A645F1" w:rsidRDefault="00953C9B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评分表</w:t>
      </w:r>
    </w:p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783"/>
        <w:gridCol w:w="1227"/>
        <w:gridCol w:w="871"/>
        <w:gridCol w:w="6662"/>
      </w:tblGrid>
      <w:tr w:rsidR="00A645F1" w14:paraId="3875D0A0" w14:textId="77777777">
        <w:trPr>
          <w:trHeight w:val="92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829C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评审</w:t>
            </w:r>
          </w:p>
          <w:p w14:paraId="3B6A9BC6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D393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评审</w:t>
            </w:r>
          </w:p>
          <w:p w14:paraId="494F5D4F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6E4E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eastAsia="宋体" w:hAnsi="宋体" w:cs="Courier New" w:hint="eastAsia"/>
                <w:b/>
                <w:kern w:val="0"/>
                <w:szCs w:val="21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4835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A645F1" w14:paraId="177CE4EA" w14:textId="77777777">
        <w:trPr>
          <w:trHeight w:val="2120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16CE2" w14:textId="77777777" w:rsidR="00A645F1" w:rsidRDefault="00953C9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商务</w:t>
            </w:r>
          </w:p>
          <w:p w14:paraId="6F4ADD03" w14:textId="77777777" w:rsidR="00A645F1" w:rsidRDefault="00953C9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技术</w:t>
            </w:r>
          </w:p>
          <w:p w14:paraId="260D9DCC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6F8D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经营管理</w:t>
            </w:r>
          </w:p>
          <w:p w14:paraId="7BA36942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FEB0" w14:textId="77777777" w:rsidR="00A645F1" w:rsidRDefault="006B180A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10</w:t>
            </w:r>
            <w:r w:rsidR="00953C9B">
              <w:rPr>
                <w:rFonts w:ascii="宋体" w:eastAsia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8D90" w14:textId="77777777" w:rsidR="00A645F1" w:rsidRDefault="00953C9B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hint="eastAsia"/>
              </w:rPr>
              <w:t>投租支行成立时间</w:t>
            </w:r>
          </w:p>
          <w:p w14:paraId="764FAF2A" w14:textId="77777777" w:rsidR="00A645F1" w:rsidRDefault="00953C9B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超过</w:t>
            </w:r>
            <w:r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年（含</w:t>
            </w:r>
            <w:r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年）以上者，得</w:t>
            </w:r>
            <w:r w:rsidR="006B180A">
              <w:rPr>
                <w:rFonts w:ascii="宋体" w:eastAsia="宋体" w:hAnsi="宋体" w:hint="eastAsia"/>
              </w:rPr>
              <w:t>10</w:t>
            </w:r>
            <w:r>
              <w:rPr>
                <w:rFonts w:ascii="宋体" w:eastAsia="宋体" w:hAnsi="宋体" w:hint="eastAsia"/>
              </w:rPr>
              <w:t>分；</w:t>
            </w:r>
          </w:p>
          <w:p w14:paraId="69FFE700" w14:textId="77777777" w:rsidR="00A645F1" w:rsidRDefault="00953C9B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达</w:t>
            </w:r>
            <w:r>
              <w:rPr>
                <w:rFonts w:ascii="宋体" w:eastAsia="宋体" w:hAnsi="宋体"/>
              </w:rPr>
              <w:t>18</w:t>
            </w:r>
            <w:r>
              <w:rPr>
                <w:rFonts w:ascii="宋体" w:eastAsia="宋体" w:hAnsi="宋体" w:hint="eastAsia"/>
              </w:rPr>
              <w:t>年者</w:t>
            </w: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 w:hint="eastAsia"/>
              </w:rPr>
              <w:t>含</w:t>
            </w:r>
            <w:r>
              <w:rPr>
                <w:rFonts w:ascii="宋体" w:eastAsia="宋体" w:hAnsi="宋体"/>
              </w:rPr>
              <w:t>18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)</w:t>
            </w:r>
            <w:r>
              <w:rPr>
                <w:rFonts w:ascii="宋体" w:eastAsia="宋体" w:hAnsi="宋体" w:hint="eastAsia"/>
              </w:rPr>
              <w:t>，得</w:t>
            </w:r>
            <w:r w:rsidR="006B180A"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分；</w:t>
            </w:r>
          </w:p>
          <w:p w14:paraId="194DD7E0" w14:textId="77777777" w:rsidR="00A645F1" w:rsidRDefault="00953C9B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达</w:t>
            </w:r>
            <w:r>
              <w:rPr>
                <w:rFonts w:ascii="宋体" w:eastAsia="宋体" w:hAnsi="宋体"/>
              </w:rPr>
              <w:t>16</w:t>
            </w:r>
            <w:r>
              <w:rPr>
                <w:rFonts w:ascii="宋体" w:eastAsia="宋体" w:hAnsi="宋体" w:hint="eastAsia"/>
              </w:rPr>
              <w:t>年者（含</w:t>
            </w:r>
            <w:r>
              <w:rPr>
                <w:rFonts w:ascii="宋体" w:eastAsia="宋体" w:hAnsi="宋体"/>
              </w:rPr>
              <w:t>16</w:t>
            </w:r>
            <w:r>
              <w:rPr>
                <w:rFonts w:ascii="宋体" w:eastAsia="宋体" w:hAnsi="宋体" w:hint="eastAsia"/>
              </w:rPr>
              <w:t>年），得</w:t>
            </w:r>
            <w:r w:rsidR="006B180A"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分；</w:t>
            </w:r>
          </w:p>
          <w:p w14:paraId="5A5F5CED" w14:textId="77777777" w:rsidR="00A645F1" w:rsidRDefault="00953C9B" w:rsidP="00EB3E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低于</w:t>
            </w:r>
            <w:r>
              <w:rPr>
                <w:rFonts w:ascii="宋体" w:eastAsia="宋体" w:hAnsi="宋体"/>
              </w:rPr>
              <w:t>16</w:t>
            </w:r>
            <w:r>
              <w:rPr>
                <w:rFonts w:ascii="宋体" w:eastAsia="宋体" w:hAnsi="宋体" w:hint="eastAsia"/>
              </w:rPr>
              <w:t>年者得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分。（</w:t>
            </w:r>
            <w:r w:rsidR="00EB3ECA">
              <w:rPr>
                <w:rFonts w:ascii="宋体" w:eastAsia="宋体" w:hAnsi="宋体" w:hint="eastAsia"/>
              </w:rPr>
              <w:t>提供</w:t>
            </w:r>
            <w:r>
              <w:rPr>
                <w:rFonts w:ascii="宋体" w:eastAsia="宋体" w:hAnsi="宋体" w:hint="eastAsia"/>
              </w:rPr>
              <w:t>营业执照</w:t>
            </w:r>
            <w:r w:rsidR="00EB3ECA">
              <w:rPr>
                <w:rFonts w:ascii="宋体" w:eastAsia="宋体" w:hAnsi="宋体" w:hint="eastAsia"/>
              </w:rPr>
              <w:t>复印件</w:t>
            </w:r>
            <w:r>
              <w:rPr>
                <w:rFonts w:ascii="宋体" w:eastAsia="宋体" w:hAnsi="宋体" w:hint="eastAsia"/>
              </w:rPr>
              <w:t>）</w:t>
            </w:r>
          </w:p>
        </w:tc>
      </w:tr>
      <w:tr w:rsidR="00A645F1" w14:paraId="19F3F84A" w14:textId="77777777">
        <w:trPr>
          <w:trHeight w:val="1834"/>
          <w:jc w:val="center"/>
        </w:trPr>
        <w:tc>
          <w:tcPr>
            <w:tcW w:w="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69F4E" w14:textId="77777777" w:rsidR="00A645F1" w:rsidRDefault="00A645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32F3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企业</w:t>
            </w:r>
          </w:p>
          <w:p w14:paraId="1D817649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荣誉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987A" w14:textId="47AA7B89" w:rsidR="00A645F1" w:rsidRDefault="00294E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953C9B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3E83" w14:textId="4AC22AC6" w:rsidR="00A645F1" w:rsidRDefault="003940E9" w:rsidP="006B180A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E9">
              <w:rPr>
                <w:rFonts w:ascii="宋体" w:eastAsia="宋体" w:hAnsi="宋体" w:hint="eastAsia"/>
              </w:rPr>
              <w:t>近三年获得政府部门颁发</w:t>
            </w:r>
            <w:r w:rsidR="00953C9B">
              <w:rPr>
                <w:rFonts w:ascii="宋体" w:eastAsia="宋体" w:hAnsi="宋体" w:hint="eastAsia"/>
              </w:rPr>
              <w:t>的</w:t>
            </w:r>
            <w:r w:rsidR="006B180A">
              <w:rPr>
                <w:rFonts w:ascii="宋体" w:eastAsia="宋体" w:hAnsi="宋体" w:hint="eastAsia"/>
              </w:rPr>
              <w:t>安保等方面</w:t>
            </w:r>
            <w:r w:rsidR="00953C9B">
              <w:rPr>
                <w:rFonts w:ascii="宋体" w:eastAsia="宋体" w:hAnsi="宋体" w:hint="eastAsia"/>
              </w:rPr>
              <w:t>的荣誉</w:t>
            </w:r>
            <w:r w:rsidR="006B180A">
              <w:rPr>
                <w:rFonts w:ascii="宋体" w:eastAsia="宋体" w:hAnsi="宋体" w:hint="eastAsia"/>
              </w:rPr>
              <w:t>得</w:t>
            </w:r>
            <w:r w:rsidR="001F7577">
              <w:rPr>
                <w:rFonts w:ascii="宋体" w:eastAsia="宋体" w:hAnsi="宋体"/>
              </w:rPr>
              <w:t>10</w:t>
            </w:r>
            <w:r w:rsidR="006B180A">
              <w:rPr>
                <w:rFonts w:ascii="宋体" w:eastAsia="宋体" w:hAnsi="宋体" w:hint="eastAsia"/>
              </w:rPr>
              <w:t>分</w:t>
            </w:r>
            <w:r w:rsidR="00953C9B">
              <w:rPr>
                <w:rFonts w:ascii="宋体" w:eastAsia="宋体" w:hAnsi="宋体" w:hint="eastAsia"/>
              </w:rPr>
              <w:t>，不提供不得分</w:t>
            </w:r>
            <w:r w:rsidR="006B180A">
              <w:rPr>
                <w:rFonts w:ascii="宋体" w:eastAsia="宋体" w:hAnsi="宋体" w:hint="eastAsia"/>
              </w:rPr>
              <w:t>（提供证书复印件或照片）。</w:t>
            </w:r>
          </w:p>
        </w:tc>
      </w:tr>
      <w:tr w:rsidR="00A645F1" w14:paraId="3412F925" w14:textId="77777777">
        <w:trPr>
          <w:trHeight w:val="2258"/>
          <w:jc w:val="center"/>
        </w:trPr>
        <w:tc>
          <w:tcPr>
            <w:tcW w:w="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8FA69" w14:textId="77777777" w:rsidR="00A645F1" w:rsidRDefault="00A645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6B96" w14:textId="77777777" w:rsidR="00A645F1" w:rsidRDefault="00C36F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同类型租赁情况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FA03" w14:textId="0BF198E9" w:rsidR="00A645F1" w:rsidRDefault="00294ECA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953C9B">
              <w:rPr>
                <w:rFonts w:ascii="宋体" w:eastAsia="宋体" w:hAnsi="宋体" w:cs="宋体" w:hint="eastAsia"/>
                <w:kern w:val="0"/>
                <w:szCs w:val="21"/>
              </w:rPr>
              <w:t>0分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187D" w14:textId="7437392F" w:rsidR="00E97CA2" w:rsidRPr="00E97CA2" w:rsidRDefault="00E97CA2" w:rsidP="00E97CA2">
            <w:pPr>
              <w:widowControl/>
              <w:adjustRightInd w:val="0"/>
              <w:snapToGrid w:val="0"/>
              <w:spacing w:beforeLines="50" w:before="156"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7CA2">
              <w:rPr>
                <w:rFonts w:ascii="宋体" w:eastAsia="宋体" w:hAnsi="宋体" w:cs="宋体" w:hint="eastAsia"/>
                <w:kern w:val="0"/>
                <w:szCs w:val="21"/>
              </w:rPr>
              <w:t>投租人在广州地区普通高校内正在营业的</w:t>
            </w:r>
            <w:r w:rsidR="00757EE2" w:rsidRPr="00757EE2">
              <w:rPr>
                <w:rFonts w:ascii="宋体" w:eastAsia="宋体" w:hAnsi="宋体" w:cs="宋体" w:hint="eastAsia"/>
                <w:kern w:val="0"/>
                <w:szCs w:val="21"/>
              </w:rPr>
              <w:t>自助银行或自助服务点</w:t>
            </w:r>
            <w:r w:rsidRPr="00E97CA2">
              <w:rPr>
                <w:rFonts w:ascii="宋体" w:eastAsia="宋体" w:hAnsi="宋体" w:cs="宋体" w:hint="eastAsia"/>
                <w:kern w:val="0"/>
                <w:szCs w:val="21"/>
              </w:rPr>
              <w:t>超过“招租须知”所要求数量，营业网点每超过</w:t>
            </w:r>
            <w:r w:rsidRPr="00E97CA2">
              <w:rPr>
                <w:rFonts w:ascii="宋体" w:eastAsia="宋体" w:hAnsi="宋体" w:cs="宋体"/>
                <w:kern w:val="0"/>
                <w:szCs w:val="21"/>
              </w:rPr>
              <w:t>1个得</w:t>
            </w:r>
            <w:r w:rsidR="00757EE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757EE2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7CA2">
              <w:rPr>
                <w:rFonts w:ascii="宋体" w:eastAsia="宋体" w:hAnsi="宋体" w:cs="宋体"/>
                <w:kern w:val="0"/>
                <w:szCs w:val="21"/>
              </w:rPr>
              <w:t>分，最高得</w:t>
            </w:r>
            <w:r w:rsidR="00757EE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757EE2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7CA2">
              <w:rPr>
                <w:rFonts w:ascii="宋体" w:eastAsia="宋体" w:hAnsi="宋体" w:cs="宋体"/>
                <w:kern w:val="0"/>
                <w:szCs w:val="21"/>
              </w:rPr>
              <w:t>分；（以场地、房屋租赁合同复印件为准）。</w:t>
            </w:r>
          </w:p>
          <w:p w14:paraId="7B562D40" w14:textId="77D6CD78" w:rsidR="00A645F1" w:rsidRDefault="00E97CA2" w:rsidP="00E97CA2">
            <w:pPr>
              <w:widowControl/>
              <w:adjustRightInd w:val="0"/>
              <w:snapToGrid w:val="0"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7CA2">
              <w:rPr>
                <w:rFonts w:ascii="宋体" w:eastAsia="宋体" w:hAnsi="宋体" w:cs="宋体" w:hint="eastAsia"/>
                <w:kern w:val="0"/>
                <w:szCs w:val="21"/>
              </w:rPr>
              <w:t>（“招租须知”要求：</w:t>
            </w:r>
            <w:r w:rsidR="00757EE2" w:rsidRPr="00757EE2">
              <w:rPr>
                <w:rFonts w:ascii="宋体" w:eastAsia="宋体" w:hAnsi="宋体" w:cs="宋体" w:hint="eastAsia"/>
                <w:kern w:val="0"/>
                <w:szCs w:val="21"/>
              </w:rPr>
              <w:t>正在营业的自助银行或自助服务点不少于</w:t>
            </w:r>
            <w:r w:rsidR="00757EE2" w:rsidRPr="00757EE2">
              <w:rPr>
                <w:rFonts w:ascii="宋体" w:eastAsia="宋体" w:hAnsi="宋体" w:cs="宋体"/>
                <w:kern w:val="0"/>
                <w:szCs w:val="21"/>
              </w:rPr>
              <w:t>2个</w:t>
            </w:r>
            <w:r w:rsidRPr="00E97CA2"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</w:tr>
      <w:tr w:rsidR="00A645F1" w14:paraId="3348E8EA" w14:textId="77777777">
        <w:trPr>
          <w:trHeight w:val="1128"/>
          <w:jc w:val="center"/>
        </w:trPr>
        <w:tc>
          <w:tcPr>
            <w:tcW w:w="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D4E2" w14:textId="77777777" w:rsidR="00A645F1" w:rsidRDefault="00A645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D723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4F47" w14:textId="369126D5" w:rsidR="00A645F1" w:rsidRDefault="00294EC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953C9B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3068" w14:textId="25B4A309" w:rsidR="00A645F1" w:rsidRDefault="00953C9B" w:rsidP="006B180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方案包括经营管理办法、投诉处理方案、机器投放安装及日常维护方案等，最高得分</w:t>
            </w:r>
            <w:r w:rsidR="00294EC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294ECA"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分，不提供不得分。</w:t>
            </w:r>
          </w:p>
        </w:tc>
      </w:tr>
      <w:tr w:rsidR="00A645F1" w14:paraId="2BB064D5" w14:textId="77777777">
        <w:trPr>
          <w:trHeight w:val="1541"/>
          <w:jc w:val="center"/>
        </w:trPr>
        <w:tc>
          <w:tcPr>
            <w:tcW w:w="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C187A" w14:textId="77777777" w:rsidR="00A645F1" w:rsidRDefault="00A645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AE07" w14:textId="77777777" w:rsidR="00A645F1" w:rsidRDefault="00953C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安全管理方案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4BE" w14:textId="77777777" w:rsidR="00A645F1" w:rsidRDefault="006B180A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20</w:t>
            </w:r>
            <w:r w:rsidR="00953C9B">
              <w:rPr>
                <w:rFonts w:ascii="宋体" w:eastAsia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7A77" w14:textId="77777777" w:rsidR="00A645F1" w:rsidRDefault="00953C9B">
            <w:pPr>
              <w:widowControl/>
              <w:spacing w:line="348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提供安全保障措施方案（含疫情防控、消防安全、用电安全、维护学校设施财产安全）；突发事件应急预案；最高得分</w:t>
            </w:r>
            <w:r w:rsidR="006B180A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分，不提供不得分。</w:t>
            </w:r>
          </w:p>
          <w:p w14:paraId="5146FEF9" w14:textId="77777777" w:rsidR="00A645F1" w:rsidRDefault="00953C9B">
            <w:pPr>
              <w:widowControl/>
              <w:spacing w:line="348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（评委横向综合对比打分）</w:t>
            </w:r>
          </w:p>
        </w:tc>
      </w:tr>
      <w:tr w:rsidR="00A645F1" w14:paraId="57B27E67" w14:textId="77777777">
        <w:trPr>
          <w:trHeight w:val="181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1912" w14:textId="77777777" w:rsidR="00A645F1" w:rsidRDefault="00953C9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价格</w:t>
            </w:r>
          </w:p>
          <w:p w14:paraId="42E38B46" w14:textId="77777777" w:rsidR="00A645F1" w:rsidRDefault="00953C9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评分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DE10" w14:textId="77777777" w:rsidR="00A645F1" w:rsidRDefault="00953C9B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20分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D94A" w14:textId="77777777" w:rsidR="00A645F1" w:rsidRDefault="00953C9B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价格情况（满分20分）</w:t>
            </w:r>
          </w:p>
          <w:p w14:paraId="3CB5BEAE" w14:textId="77777777" w:rsidR="00A645F1" w:rsidRDefault="00953C9B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最低报价限在租金底价上，按照最高报价进行排名，</w:t>
            </w:r>
          </w:p>
          <w:p w14:paraId="2360E80A" w14:textId="77777777" w:rsidR="00A645F1" w:rsidRDefault="00953C9B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排名第一的得20分，排名第二的得15分，排名第三的得10分，排名第四及以下的得5分。</w:t>
            </w:r>
          </w:p>
        </w:tc>
      </w:tr>
    </w:tbl>
    <w:p w14:paraId="75A82D27" w14:textId="77777777" w:rsidR="00A645F1" w:rsidRDefault="00A645F1" w:rsidP="00FC67CF">
      <w:pPr>
        <w:adjustRightInd w:val="0"/>
        <w:snapToGrid w:val="0"/>
        <w:spacing w:beforeLines="100" w:before="312"/>
        <w:rPr>
          <w:rFonts w:ascii="宋体" w:eastAsia="宋体" w:hAnsi="宋体"/>
          <w:sz w:val="24"/>
        </w:rPr>
      </w:pPr>
    </w:p>
    <w:sectPr w:rsidR="00A645F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4FB" w14:textId="77777777" w:rsidR="00291A93" w:rsidRDefault="00291A93">
      <w:r>
        <w:separator/>
      </w:r>
    </w:p>
  </w:endnote>
  <w:endnote w:type="continuationSeparator" w:id="0">
    <w:p w14:paraId="5643930B" w14:textId="77777777" w:rsidR="00291A93" w:rsidRDefault="0029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150C" w14:textId="77777777" w:rsidR="00291A93" w:rsidRDefault="00291A93">
      <w:r>
        <w:separator/>
      </w:r>
    </w:p>
  </w:footnote>
  <w:footnote w:type="continuationSeparator" w:id="0">
    <w:p w14:paraId="3DBAF8AA" w14:textId="77777777" w:rsidR="00291A93" w:rsidRDefault="0029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5F1"/>
    <w:rsid w:val="00117EAE"/>
    <w:rsid w:val="001F7577"/>
    <w:rsid w:val="00291A93"/>
    <w:rsid w:val="00294ECA"/>
    <w:rsid w:val="003940E9"/>
    <w:rsid w:val="006B180A"/>
    <w:rsid w:val="0075127F"/>
    <w:rsid w:val="00757EE2"/>
    <w:rsid w:val="00953C9B"/>
    <w:rsid w:val="00A645F1"/>
    <w:rsid w:val="00AB53CA"/>
    <w:rsid w:val="00AC5BC2"/>
    <w:rsid w:val="00C3400C"/>
    <w:rsid w:val="00C36F84"/>
    <w:rsid w:val="00E97CA2"/>
    <w:rsid w:val="00EB3ECA"/>
    <w:rsid w:val="00ED3DED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DD7B2"/>
  <w15:docId w15:val="{B26B987D-4D8A-4DCC-9507-0D9CF4DC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小 泉</cp:lastModifiedBy>
  <cp:revision>35</cp:revision>
  <cp:lastPrinted>2022-11-09T01:32:00Z</cp:lastPrinted>
  <dcterms:created xsi:type="dcterms:W3CDTF">2021-11-26T01:22:00Z</dcterms:created>
  <dcterms:modified xsi:type="dcterms:W3CDTF">2022-12-11T06:51:00Z</dcterms:modified>
</cp:coreProperties>
</file>