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0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</w:t>
      </w:r>
      <w:bookmarkStart w:id="0" w:name="_GoBack"/>
      <w:bookmarkEnd w:id="0"/>
      <w:r>
        <w:rPr>
          <w:rFonts w:hint="eastAsia"/>
        </w:rPr>
        <w:t>届“华学”学术创新奖</w:t>
      </w:r>
    </w:p>
    <w:p>
      <w:pPr>
        <w:pStyle w:val="11"/>
        <w:spacing w:before="0"/>
        <w:rPr>
          <w:szCs w:val="24"/>
        </w:rPr>
      </w:pPr>
      <w:r>
        <w:rPr>
          <w:rFonts w:hint="eastAsia"/>
          <w:szCs w:val="24"/>
        </w:rPr>
        <w:t>征文写作要求</w:t>
      </w:r>
    </w:p>
    <w:p>
      <w:pPr>
        <w:rPr>
          <w:rFonts w:eastAsia="黑体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一、最后完成形式</w:t>
      </w:r>
    </w:p>
    <w:p>
      <w:pPr>
        <w:pStyle w:val="25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内容摘要</w:t>
      </w:r>
    </w:p>
    <w:p>
      <w:pPr>
        <w:pStyle w:val="25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正文</w:t>
      </w:r>
    </w:p>
    <w:p>
      <w:pPr>
        <w:pStyle w:val="25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eastAsia="仿宋_GB2312"/>
          <w:sz w:val="24"/>
        </w:rPr>
      </w:pPr>
      <w:r>
        <w:rPr>
          <w:rFonts w:hint="eastAsia" w:eastAsia="仿宋_GB2312"/>
          <w:sz w:val="24"/>
          <w:szCs w:val="24"/>
        </w:rPr>
        <w:t>相关资料</w:t>
      </w:r>
    </w:p>
    <w:p>
      <w:pPr>
        <w:adjustRightInd w:val="0"/>
        <w:snapToGrid w:val="0"/>
        <w:spacing w:line="300" w:lineRule="auto"/>
        <w:rPr>
          <w:rFonts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二、参考撰写格式</w:t>
      </w:r>
    </w:p>
    <w:p>
      <w:pPr>
        <w:pStyle w:val="25"/>
        <w:numPr>
          <w:ilvl w:val="0"/>
          <w:numId w:val="4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论文采用</w:t>
      </w:r>
      <w:r>
        <w:rPr>
          <w:rFonts w:ascii="仿宋_GB2312" w:eastAsia="仿宋_GB2312"/>
          <w:sz w:val="24"/>
          <w:szCs w:val="24"/>
        </w:rPr>
        <w:t>5</w:t>
      </w:r>
      <w:r>
        <w:rPr>
          <w:rFonts w:hint="eastAsia" w:ascii="仿宋_GB2312" w:eastAsia="仿宋_GB2312"/>
          <w:sz w:val="24"/>
          <w:szCs w:val="24"/>
        </w:rPr>
        <w:t>级标题，序号依次即为：一；（一）；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；（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）；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）。</w:t>
      </w:r>
    </w:p>
    <w:p>
      <w:pPr>
        <w:pStyle w:val="5"/>
        <w:numPr>
          <w:ilvl w:val="0"/>
          <w:numId w:val="4"/>
        </w:num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法规和规范性政策文件名称的写法和具体内容的引用，应注意以下三点要求：</w:t>
      </w:r>
    </w:p>
    <w:p>
      <w:pPr>
        <w:pStyle w:val="5"/>
        <w:numPr>
          <w:ilvl w:val="0"/>
          <w:numId w:val="5"/>
        </w:num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特指某一部具体法规或规范性政策文件，应在其名称上加书名号“《》”，如果非特指而是对某一类法规或规范性政策的泛指，则不加书名号。</w:t>
      </w:r>
    </w:p>
    <w:p>
      <w:pPr>
        <w:pStyle w:val="5"/>
        <w:numPr>
          <w:ilvl w:val="0"/>
          <w:numId w:val="5"/>
        </w:num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在某一法规或规范性政策文件第一次出现时，必须使用全称；在以后的使用中，在不会引起歧义的情况下，可使用简称，但要在第一次出现使用全称时，用括号在后面加以注明，如在“《中华人民共和国科学技术进步法》”之后注明：（以下简称“《科技进步法》”）。</w:t>
      </w:r>
    </w:p>
    <w:p>
      <w:pPr>
        <w:pStyle w:val="5"/>
        <w:numPr>
          <w:ilvl w:val="0"/>
          <w:numId w:val="5"/>
        </w:num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对法规或规范性政策文件的引用，分为两种情形：引述原条文内容的，应加引号，并具体写明所引部分的条、款、项；非引述原文而是概述其义的，则不加引号。</w:t>
      </w:r>
    </w:p>
    <w:p>
      <w:pPr>
        <w:pStyle w:val="5"/>
        <w:numPr>
          <w:ilvl w:val="0"/>
          <w:numId w:val="4"/>
        </w:num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国际或</w:t>
      </w:r>
      <w:r>
        <w:rPr>
          <w:rFonts w:hint="eastAsia" w:ascii="仿宋_GB2312" w:hAnsi="Times New Roman" w:eastAsia="仿宋_GB2312"/>
          <w:sz w:val="24"/>
          <w:szCs w:val="24"/>
        </w:rPr>
        <w:t>国家机构、组织名称在第一次出现时，均使用全称。如果全称过长，并反复出现时，在不会引起歧义的情况下可以使用简称；对所使用简称，一般应在第一次出现使用全称时，用括号在后面加以注明。同时，应注意符合习惯使用的简称名称，如“全国人民代表大会”，可简称为“全国人大”，但不宜称“我国人大”；“全国人民代表大会常务委员会”，可简称为“全国人大常委会”，但不宜称“人大常委会”或“全国人大常委”；“地方各级人民代表大会”，可简称为“地方人大”；“地方各级人民代表大会常务委员会”，可简称为“地方人大常委会”，但不宜称“地方人大常委”；“中华人民共和国国务院”，可简称为“国务院”；“中国人民政治协商会议”，可分别简称为“全国政协”、“地方政协”等。</w:t>
      </w:r>
    </w:p>
    <w:p>
      <w:pPr>
        <w:pStyle w:val="5"/>
        <w:numPr>
          <w:ilvl w:val="0"/>
          <w:numId w:val="4"/>
        </w:num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关于数字的用法，遵循以下方法：</w:t>
      </w:r>
    </w:p>
    <w:p>
      <w:pPr>
        <w:pStyle w:val="5"/>
        <w:numPr>
          <w:ilvl w:val="0"/>
          <w:numId w:val="6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关于代号、代码和序号的写法，一般采用以下方式：</w:t>
      </w:r>
    </w:p>
    <w:p>
      <w:pPr>
        <w:pStyle w:val="5"/>
        <w:numPr>
          <w:ilvl w:val="0"/>
          <w:numId w:val="7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单位名称、计划与工程代号等，除专门术语以外，一般使用汉字。例：某部一连二排六班、北京市一○一中学、二○一勘探队、九七四○工厂、一○所、一机部三所、八六三工程。</w:t>
      </w:r>
    </w:p>
    <w:p>
      <w:pPr>
        <w:pStyle w:val="5"/>
        <w:numPr>
          <w:ilvl w:val="0"/>
          <w:numId w:val="7"/>
        </w:num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部队番号、文件编号、证件号码和其他序号，用阿拉伯数字。序数词即使是多位数也不能分节。例：</w:t>
      </w:r>
      <w:r>
        <w:rPr>
          <w:rFonts w:ascii="仿宋_GB2312" w:hAnsi="Times New Roman" w:eastAsia="仿宋_GB2312"/>
          <w:sz w:val="24"/>
          <w:szCs w:val="24"/>
        </w:rPr>
        <w:t>84062</w:t>
      </w:r>
      <w:r>
        <w:rPr>
          <w:rFonts w:hint="eastAsia" w:ascii="仿宋_GB2312" w:hAnsi="Times New Roman" w:eastAsia="仿宋_GB2312"/>
          <w:sz w:val="24"/>
          <w:szCs w:val="24"/>
        </w:rPr>
        <w:t>部队、国家标准</w:t>
      </w:r>
      <w:r>
        <w:rPr>
          <w:rFonts w:ascii="仿宋_GB2312" w:hAnsi="Times New Roman" w:eastAsia="仿宋_GB2312"/>
          <w:sz w:val="24"/>
          <w:szCs w:val="24"/>
        </w:rPr>
        <w:t>GB 2312—80</w:t>
      </w:r>
      <w:r>
        <w:rPr>
          <w:rFonts w:hint="eastAsia" w:ascii="仿宋_GB2312" w:hAnsi="Times New Roman" w:eastAsia="仿宋_GB2312"/>
          <w:sz w:val="24"/>
          <w:szCs w:val="24"/>
        </w:rPr>
        <w:t>、国办发〔</w:t>
      </w:r>
      <w:r>
        <w:rPr>
          <w:rFonts w:ascii="仿宋_GB2312" w:hAnsi="Times New Roman" w:eastAsia="仿宋_GB2312"/>
          <w:sz w:val="24"/>
          <w:szCs w:val="24"/>
        </w:rPr>
        <w:t>1987</w:t>
      </w:r>
      <w:r>
        <w:rPr>
          <w:rFonts w:hint="eastAsia" w:ascii="仿宋_GB2312" w:hAnsi="Times New Roman" w:eastAsia="仿宋_GB2312"/>
          <w:sz w:val="24"/>
          <w:szCs w:val="24"/>
        </w:rPr>
        <w:t>〕</w:t>
      </w:r>
      <w:r>
        <w:rPr>
          <w:rFonts w:ascii="仿宋_GB2312" w:hAnsi="Times New Roman" w:eastAsia="仿宋_GB2312"/>
          <w:sz w:val="24"/>
          <w:szCs w:val="24"/>
        </w:rPr>
        <w:t>9</w:t>
      </w:r>
      <w:r>
        <w:rPr>
          <w:rFonts w:hint="eastAsia" w:ascii="仿宋_GB2312" w:hAnsi="Times New Roman" w:eastAsia="仿宋_GB2312"/>
          <w:sz w:val="24"/>
          <w:szCs w:val="24"/>
        </w:rPr>
        <w:t>号文件、国内统一刊号</w:t>
      </w:r>
      <w:r>
        <w:rPr>
          <w:rFonts w:ascii="仿宋_GB2312" w:hAnsi="Times New Roman" w:eastAsia="仿宋_GB2312"/>
          <w:sz w:val="24"/>
          <w:szCs w:val="24"/>
        </w:rPr>
        <w:t>GN 11—1399</w:t>
      </w:r>
      <w:r>
        <w:rPr>
          <w:rFonts w:hint="eastAsia" w:ascii="仿宋_GB2312" w:hAnsi="Times New Roman" w:eastAsia="仿宋_GB2312"/>
          <w:sz w:val="24"/>
          <w:szCs w:val="24"/>
        </w:rPr>
        <w:t>总</w:t>
      </w:r>
      <w:r>
        <w:rPr>
          <w:rFonts w:ascii="仿宋_GB2312" w:hAnsi="Times New Roman" w:eastAsia="仿宋_GB2312"/>
          <w:sz w:val="24"/>
          <w:szCs w:val="24"/>
        </w:rPr>
        <w:t>3147</w:t>
      </w:r>
      <w:r>
        <w:rPr>
          <w:rFonts w:hint="eastAsia" w:ascii="仿宋_GB2312" w:hAnsi="Times New Roman" w:eastAsia="仿宋_GB2312"/>
          <w:sz w:val="24"/>
          <w:szCs w:val="24"/>
        </w:rPr>
        <w:t>号、</w:t>
      </w:r>
      <w:r>
        <w:rPr>
          <w:rFonts w:ascii="仿宋_GB2312" w:hAnsi="Times New Roman" w:eastAsia="仿宋_GB2312"/>
          <w:sz w:val="24"/>
          <w:szCs w:val="24"/>
        </w:rPr>
        <w:t>21</w:t>
      </w:r>
      <w:r>
        <w:rPr>
          <w:rFonts w:hint="eastAsia" w:ascii="仿宋_GB2312" w:hAnsi="Times New Roman" w:eastAsia="仿宋_GB2312"/>
          <w:sz w:val="24"/>
          <w:szCs w:val="24"/>
        </w:rPr>
        <w:t>／</w:t>
      </w:r>
      <w:r>
        <w:rPr>
          <w:rFonts w:ascii="仿宋_GB2312" w:hAnsi="Times New Roman" w:eastAsia="仿宋_GB2312"/>
          <w:sz w:val="24"/>
          <w:szCs w:val="24"/>
        </w:rPr>
        <w:t>22</w:t>
      </w:r>
      <w:r>
        <w:rPr>
          <w:rFonts w:hint="eastAsia" w:ascii="仿宋_GB2312" w:hAnsi="Times New Roman" w:eastAsia="仿宋_GB2312"/>
          <w:sz w:val="24"/>
          <w:szCs w:val="24"/>
        </w:rPr>
        <w:t>次特别快车、</w:t>
      </w:r>
      <w:r>
        <w:rPr>
          <w:rFonts w:ascii="仿宋_GB2312" w:hAnsi="Times New Roman" w:eastAsia="仿宋_GB2312"/>
          <w:sz w:val="24"/>
          <w:szCs w:val="24"/>
        </w:rPr>
        <w:t>HP—3000</w:t>
      </w:r>
      <w:r>
        <w:rPr>
          <w:rFonts w:hint="eastAsia" w:ascii="仿宋_GB2312" w:hAnsi="Times New Roman" w:eastAsia="仿宋_GB2312"/>
          <w:sz w:val="24"/>
          <w:szCs w:val="24"/>
        </w:rPr>
        <w:t>型电子计算机、</w:t>
      </w:r>
      <w:r>
        <w:rPr>
          <w:rFonts w:ascii="仿宋_GB2312" w:hAnsi="Times New Roman" w:eastAsia="仿宋_GB2312"/>
          <w:sz w:val="24"/>
          <w:szCs w:val="24"/>
        </w:rPr>
        <w:t>85</w:t>
      </w:r>
      <w:r>
        <w:rPr>
          <w:rFonts w:hint="eastAsia" w:ascii="仿宋_GB2312" w:hAnsi="Times New Roman" w:eastAsia="仿宋_GB2312"/>
          <w:sz w:val="24"/>
          <w:szCs w:val="24"/>
        </w:rPr>
        <w:t>号汽油、维生素</w:t>
      </w:r>
      <w:r>
        <w:rPr>
          <w:rFonts w:ascii="仿宋_GB2312" w:hAnsi="Times New Roman" w:eastAsia="仿宋_GB2312"/>
          <w:sz w:val="24"/>
          <w:szCs w:val="24"/>
        </w:rPr>
        <w:t>B12</w:t>
      </w:r>
      <w:r>
        <w:rPr>
          <w:rFonts w:hint="eastAsia" w:ascii="仿宋_GB2312" w:hAnsi="Times New Roman" w:eastAsia="仿宋_GB2312"/>
          <w:sz w:val="24"/>
          <w:szCs w:val="24"/>
        </w:rPr>
        <w:t>。</w:t>
      </w:r>
    </w:p>
    <w:p>
      <w:pPr>
        <w:pStyle w:val="5"/>
        <w:numPr>
          <w:ilvl w:val="0"/>
          <w:numId w:val="6"/>
        </w:num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含有日用简称表示事件、节日和其他意义的词组使用汉字。如果涉及一月、十二月，应用间隔号“</w:t>
      </w:r>
      <w:r>
        <w:rPr>
          <w:rFonts w:ascii="仿宋_GB2312" w:hAnsi="Times New Roman" w:eastAsia="仿宋_GB2312"/>
          <w:sz w:val="24"/>
          <w:szCs w:val="24"/>
        </w:rPr>
        <w:t>·</w:t>
      </w:r>
      <w:r>
        <w:rPr>
          <w:rFonts w:hint="eastAsia" w:ascii="仿宋_GB2312" w:hAnsi="Times New Roman" w:eastAsia="仿宋_GB2312"/>
          <w:sz w:val="24"/>
          <w:szCs w:val="24"/>
        </w:rPr>
        <w:t>”将表示月和日的数字隔开，并外加引号，以避免歧义。如：“一</w:t>
      </w:r>
      <w:r>
        <w:rPr>
          <w:rFonts w:ascii="仿宋_GB2312" w:hAnsi="Times New Roman" w:eastAsia="仿宋_GB2312"/>
          <w:sz w:val="24"/>
          <w:szCs w:val="24"/>
        </w:rPr>
        <w:t>·</w:t>
      </w:r>
      <w:r>
        <w:rPr>
          <w:rFonts w:hint="eastAsia" w:ascii="仿宋_GB2312" w:hAnsi="Times New Roman" w:eastAsia="仿宋_GB2312"/>
          <w:sz w:val="24"/>
          <w:szCs w:val="24"/>
        </w:rPr>
        <w:t>二八”事变、“一</w:t>
      </w:r>
      <w:r>
        <w:rPr>
          <w:rFonts w:ascii="仿宋_GB2312" w:hAnsi="Times New Roman" w:eastAsia="仿宋_GB2312"/>
          <w:sz w:val="24"/>
          <w:szCs w:val="24"/>
        </w:rPr>
        <w:t>·</w:t>
      </w:r>
      <w:r>
        <w:rPr>
          <w:rFonts w:hint="eastAsia" w:ascii="仿宋_GB2312" w:hAnsi="Times New Roman" w:eastAsia="仿宋_GB2312"/>
          <w:sz w:val="24"/>
          <w:szCs w:val="24"/>
        </w:rPr>
        <w:t>二九”运动、“一</w:t>
      </w:r>
      <w:r>
        <w:rPr>
          <w:rFonts w:ascii="仿宋_GB2312" w:hAnsi="Times New Roman" w:eastAsia="仿宋_GB2312"/>
          <w:sz w:val="24"/>
          <w:szCs w:val="24"/>
        </w:rPr>
        <w:t>·</w:t>
      </w:r>
      <w:r>
        <w:rPr>
          <w:rFonts w:hint="eastAsia" w:ascii="仿宋_GB2312" w:hAnsi="Times New Roman" w:eastAsia="仿宋_GB2312"/>
          <w:sz w:val="24"/>
          <w:szCs w:val="24"/>
        </w:rPr>
        <w:t>一七”批示、“一</w:t>
      </w:r>
      <w:r>
        <w:rPr>
          <w:rFonts w:ascii="仿宋_GB2312" w:hAnsi="Times New Roman" w:eastAsia="仿宋_GB2312"/>
          <w:sz w:val="24"/>
          <w:szCs w:val="24"/>
        </w:rPr>
        <w:t xml:space="preserve"> </w:t>
      </w:r>
      <w:r>
        <w:rPr>
          <w:rFonts w:hint="eastAsia" w:ascii="仿宋_GB2312" w:hAnsi="Times New Roman" w:eastAsia="仿宋_GB2312"/>
          <w:sz w:val="24"/>
          <w:szCs w:val="24"/>
        </w:rPr>
        <w:t>一</w:t>
      </w:r>
      <w:r>
        <w:rPr>
          <w:rFonts w:ascii="仿宋_GB2312" w:hAnsi="Times New Roman" w:eastAsia="仿宋_GB2312"/>
          <w:sz w:val="24"/>
          <w:szCs w:val="24"/>
        </w:rPr>
        <w:t>·</w:t>
      </w:r>
      <w:r>
        <w:rPr>
          <w:rFonts w:hint="eastAsia" w:ascii="仿宋_GB2312" w:hAnsi="Times New Roman" w:eastAsia="仿宋_GB2312"/>
          <w:sz w:val="24"/>
          <w:szCs w:val="24"/>
        </w:rPr>
        <w:t>一”案件。其他月份不用间隔号，是否使用引号，视事件的知名度。如：五四运动、五卅运动、七七事变、十一国庆节、“五一六”通知、“九一三”事件。</w:t>
      </w:r>
    </w:p>
    <w:p>
      <w:pPr>
        <w:pStyle w:val="5"/>
        <w:numPr>
          <w:ilvl w:val="0"/>
          <w:numId w:val="6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整数一～十，如果</w:t>
      </w:r>
      <w:r>
        <w:rPr>
          <w:rFonts w:hint="eastAsia" w:ascii="仿宋_GB2312" w:eastAsia="仿宋_GB2312"/>
          <w:sz w:val="24"/>
          <w:szCs w:val="24"/>
        </w:rPr>
        <w:t>不是出现在具有统计意义的一组数字中，可以用汉字，如：一个人、三本书、四种产品、六条意见、读了十遍、五个百分点。但数值的书写形式要照顾到上下文。例：截至</w:t>
      </w:r>
      <w:r>
        <w:rPr>
          <w:rFonts w:ascii="仿宋_GB2312" w:eastAsia="仿宋_GB2312"/>
          <w:sz w:val="24"/>
          <w:szCs w:val="24"/>
        </w:rPr>
        <w:t>1994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9</w:t>
      </w:r>
      <w:r>
        <w:rPr>
          <w:rFonts w:hint="eastAsia" w:ascii="仿宋_GB2312" w:eastAsia="仿宋_GB2312"/>
          <w:sz w:val="24"/>
          <w:szCs w:val="24"/>
        </w:rPr>
        <w:t>月，我国高等学校有新闻系</w:t>
      </w:r>
      <w:r>
        <w:rPr>
          <w:rFonts w:ascii="仿宋_GB2312" w:eastAsia="仿宋_GB2312"/>
          <w:sz w:val="24"/>
          <w:szCs w:val="24"/>
        </w:rPr>
        <w:t>6</w:t>
      </w:r>
      <w:r>
        <w:rPr>
          <w:rFonts w:hint="eastAsia" w:ascii="仿宋_GB2312" w:eastAsia="仿宋_GB2312"/>
          <w:sz w:val="24"/>
          <w:szCs w:val="24"/>
        </w:rPr>
        <w:t>个、新闻专业</w:t>
      </w:r>
      <w:r>
        <w:rPr>
          <w:rFonts w:ascii="仿宋_GB2312" w:eastAsia="仿宋_GB2312"/>
          <w:sz w:val="24"/>
          <w:szCs w:val="24"/>
        </w:rPr>
        <w:t>7</w:t>
      </w:r>
      <w:r>
        <w:rPr>
          <w:rFonts w:hint="eastAsia" w:ascii="仿宋_GB2312" w:eastAsia="仿宋_GB2312"/>
          <w:sz w:val="24"/>
          <w:szCs w:val="24"/>
        </w:rPr>
        <w:t>个、新闻班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个；新闻教育专职教员</w:t>
      </w:r>
      <w:r>
        <w:rPr>
          <w:rFonts w:ascii="仿宋_GB2312" w:eastAsia="仿宋_GB2312"/>
          <w:sz w:val="24"/>
          <w:szCs w:val="24"/>
        </w:rPr>
        <w:t>274</w:t>
      </w:r>
      <w:r>
        <w:rPr>
          <w:rFonts w:hint="eastAsia" w:ascii="仿宋_GB2312" w:eastAsia="仿宋_GB2312"/>
          <w:sz w:val="24"/>
          <w:szCs w:val="24"/>
        </w:rPr>
        <w:t>人，在校学生</w:t>
      </w:r>
      <w:r>
        <w:rPr>
          <w:rFonts w:ascii="仿宋_GB2312" w:eastAsia="仿宋_GB2312"/>
          <w:sz w:val="24"/>
          <w:szCs w:val="24"/>
        </w:rPr>
        <w:t>1561</w:t>
      </w:r>
      <w:r>
        <w:rPr>
          <w:rFonts w:hint="eastAsia" w:ascii="仿宋_GB2312" w:eastAsia="仿宋_GB2312"/>
          <w:sz w:val="24"/>
          <w:szCs w:val="24"/>
        </w:rPr>
        <w:t>人。</w:t>
      </w:r>
    </w:p>
    <w:p>
      <w:pPr>
        <w:pStyle w:val="5"/>
        <w:numPr>
          <w:ilvl w:val="0"/>
          <w:numId w:val="6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关于多位数、小数的写法，一般采用以下方式：</w:t>
      </w:r>
    </w:p>
    <w:p>
      <w:pPr>
        <w:pStyle w:val="5"/>
        <w:numPr>
          <w:ilvl w:val="0"/>
          <w:numId w:val="8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非专业性科技出版物中大于</w:t>
      </w:r>
      <w:r>
        <w:rPr>
          <w:rFonts w:ascii="仿宋_GB2312" w:eastAsia="仿宋_GB2312"/>
          <w:sz w:val="24"/>
          <w:szCs w:val="24"/>
        </w:rPr>
        <w:t>999</w:t>
      </w:r>
      <w:r>
        <w:rPr>
          <w:rFonts w:hint="eastAsia" w:ascii="仿宋_GB2312" w:eastAsia="仿宋_GB2312"/>
          <w:sz w:val="24"/>
          <w:szCs w:val="24"/>
        </w:rPr>
        <w:t>的整数，仍可采用传统的以千分撇“，”分节的办法，如：</w:t>
      </w:r>
      <w:r>
        <w:rPr>
          <w:rFonts w:ascii="仿宋_GB2312" w:eastAsia="仿宋_GB2312"/>
          <w:sz w:val="24"/>
          <w:szCs w:val="24"/>
        </w:rPr>
        <w:t>23,456</w:t>
      </w:r>
      <w:r>
        <w:rPr>
          <w:rFonts w:hint="eastAsia" w:ascii="仿宋_GB2312" w:eastAsia="仿宋_GB2312"/>
          <w:sz w:val="24"/>
          <w:szCs w:val="24"/>
        </w:rPr>
        <w:t>；位数多于三位的小数部分不分节，如：</w:t>
      </w:r>
      <w:r>
        <w:rPr>
          <w:rFonts w:ascii="仿宋_GB2312" w:eastAsia="仿宋_GB2312"/>
          <w:sz w:val="24"/>
          <w:szCs w:val="24"/>
        </w:rPr>
        <w:t>3.14159265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pStyle w:val="5"/>
        <w:numPr>
          <w:ilvl w:val="0"/>
          <w:numId w:val="8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非科技出版物在不需明确有效数字以表示数值的精确度时，可采用简写法，即改写为以万、亿为单位的数值。如；</w:t>
      </w:r>
      <w:r>
        <w:rPr>
          <w:rFonts w:ascii="仿宋_GB2312" w:eastAsia="仿宋_GB2312"/>
          <w:sz w:val="24"/>
          <w:szCs w:val="24"/>
        </w:rPr>
        <w:t>345,000,000</w:t>
      </w:r>
      <w:r>
        <w:rPr>
          <w:rFonts w:hint="eastAsia" w:ascii="仿宋_GB2312" w:eastAsia="仿宋_GB2312"/>
          <w:sz w:val="24"/>
          <w:szCs w:val="24"/>
        </w:rPr>
        <w:t>，也可写作</w:t>
      </w:r>
      <w:r>
        <w:rPr>
          <w:rFonts w:ascii="仿宋_GB2312" w:eastAsia="仿宋_GB2312"/>
          <w:sz w:val="24"/>
          <w:szCs w:val="24"/>
        </w:rPr>
        <w:t>34,500</w:t>
      </w:r>
      <w:r>
        <w:rPr>
          <w:rFonts w:hint="eastAsia" w:ascii="仿宋_GB2312" w:eastAsia="仿宋_GB2312"/>
          <w:sz w:val="24"/>
          <w:szCs w:val="24"/>
        </w:rPr>
        <w:t>万或</w:t>
      </w:r>
      <w:r>
        <w:rPr>
          <w:rFonts w:ascii="仿宋_GB2312" w:eastAsia="仿宋_GB2312"/>
          <w:sz w:val="24"/>
          <w:szCs w:val="24"/>
        </w:rPr>
        <w:t>3.45</w:t>
      </w:r>
      <w:r>
        <w:rPr>
          <w:rFonts w:hint="eastAsia" w:ascii="仿宋_GB2312" w:eastAsia="仿宋_GB2312"/>
          <w:sz w:val="24"/>
          <w:szCs w:val="24"/>
        </w:rPr>
        <w:t>亿，但不能写作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亿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千</w:t>
      </w:r>
      <w:r>
        <w:rPr>
          <w:rFonts w:ascii="仿宋_GB2312" w:eastAsia="仿宋_GB2312"/>
          <w:sz w:val="24"/>
          <w:szCs w:val="24"/>
        </w:rPr>
        <w:t>5</w:t>
      </w:r>
      <w:r>
        <w:rPr>
          <w:rFonts w:hint="eastAsia" w:ascii="仿宋_GB2312" w:eastAsia="仿宋_GB2312"/>
          <w:sz w:val="24"/>
          <w:szCs w:val="24"/>
        </w:rPr>
        <w:t>百万。</w:t>
      </w:r>
    </w:p>
    <w:p>
      <w:pPr>
        <w:pStyle w:val="5"/>
        <w:numPr>
          <w:ilvl w:val="0"/>
          <w:numId w:val="8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数值巨大的精确数字，为了便于定位读数或者移行，作为特例可以同时使用“亿、万”作单位，但仍不得夹用“千、百、十”作单位。例：我国</w:t>
      </w:r>
      <w:r>
        <w:rPr>
          <w:rFonts w:ascii="仿宋_GB2312" w:eastAsia="仿宋_GB2312"/>
          <w:sz w:val="24"/>
          <w:szCs w:val="24"/>
        </w:rPr>
        <w:t>1982</w:t>
      </w:r>
      <w:r>
        <w:rPr>
          <w:rFonts w:hint="eastAsia" w:ascii="仿宋_GB2312" w:eastAsia="仿宋_GB2312"/>
          <w:sz w:val="24"/>
          <w:szCs w:val="24"/>
        </w:rPr>
        <w:t>年人口普查人数为</w:t>
      </w:r>
      <w:r>
        <w:rPr>
          <w:rFonts w:ascii="仿宋_GB2312" w:eastAsia="仿宋_GB2312"/>
          <w:sz w:val="24"/>
          <w:szCs w:val="24"/>
        </w:rPr>
        <w:t>10</w:t>
      </w:r>
      <w:r>
        <w:rPr>
          <w:rFonts w:hint="eastAsia" w:ascii="仿宋_GB2312" w:eastAsia="仿宋_GB2312"/>
          <w:sz w:val="24"/>
          <w:szCs w:val="24"/>
        </w:rPr>
        <w:t>亿</w:t>
      </w:r>
      <w:r>
        <w:rPr>
          <w:rFonts w:ascii="仿宋_GB2312" w:eastAsia="仿宋_GB2312"/>
          <w:sz w:val="24"/>
          <w:szCs w:val="24"/>
        </w:rPr>
        <w:t>817</w:t>
      </w:r>
      <w:r>
        <w:rPr>
          <w:rFonts w:hint="eastAsia" w:ascii="仿宋_GB2312" w:eastAsia="仿宋_GB2312"/>
          <w:sz w:val="24"/>
          <w:szCs w:val="24"/>
        </w:rPr>
        <w:t>万</w:t>
      </w:r>
      <w:r>
        <w:rPr>
          <w:rFonts w:ascii="仿宋_GB2312" w:eastAsia="仿宋_GB2312"/>
          <w:sz w:val="24"/>
          <w:szCs w:val="24"/>
        </w:rPr>
        <w:t>5288</w:t>
      </w:r>
      <w:r>
        <w:rPr>
          <w:rFonts w:hint="eastAsia" w:ascii="仿宋_GB2312" w:eastAsia="仿宋_GB2312"/>
          <w:sz w:val="24"/>
          <w:szCs w:val="24"/>
        </w:rPr>
        <w:t>人；</w:t>
      </w:r>
      <w:r>
        <w:rPr>
          <w:rFonts w:ascii="仿宋_GB2312" w:eastAsia="仿宋_GB2312"/>
          <w:sz w:val="24"/>
          <w:szCs w:val="24"/>
        </w:rPr>
        <w:t>1990</w:t>
      </w:r>
      <w:r>
        <w:rPr>
          <w:rFonts w:hint="eastAsia" w:ascii="仿宋_GB2312" w:eastAsia="仿宋_GB2312"/>
          <w:sz w:val="24"/>
          <w:szCs w:val="24"/>
        </w:rPr>
        <w:t>年人口普查人数为</w:t>
      </w:r>
      <w:r>
        <w:rPr>
          <w:rFonts w:ascii="仿宋_GB2312" w:eastAsia="仿宋_GB2312"/>
          <w:sz w:val="24"/>
          <w:szCs w:val="24"/>
        </w:rPr>
        <w:t>11</w:t>
      </w:r>
      <w:r>
        <w:rPr>
          <w:rFonts w:hint="eastAsia" w:ascii="仿宋_GB2312" w:eastAsia="仿宋_GB2312"/>
          <w:sz w:val="24"/>
          <w:szCs w:val="24"/>
        </w:rPr>
        <w:t>亿</w:t>
      </w:r>
      <w:r>
        <w:rPr>
          <w:rFonts w:ascii="仿宋_GB2312" w:eastAsia="仿宋_GB2312"/>
          <w:sz w:val="24"/>
          <w:szCs w:val="24"/>
        </w:rPr>
        <w:t>3368</w:t>
      </w:r>
      <w:r>
        <w:rPr>
          <w:rFonts w:hint="eastAsia" w:ascii="仿宋_GB2312" w:eastAsia="仿宋_GB2312"/>
          <w:sz w:val="24"/>
          <w:szCs w:val="24"/>
        </w:rPr>
        <w:t>万</w:t>
      </w:r>
      <w:r>
        <w:rPr>
          <w:rFonts w:ascii="仿宋_GB2312" w:eastAsia="仿宋_GB2312"/>
          <w:sz w:val="24"/>
          <w:szCs w:val="24"/>
        </w:rPr>
        <w:t>2501</w:t>
      </w:r>
      <w:r>
        <w:rPr>
          <w:rFonts w:hint="eastAsia" w:ascii="仿宋_GB2312" w:eastAsia="仿宋_GB2312"/>
          <w:sz w:val="24"/>
          <w:szCs w:val="24"/>
        </w:rPr>
        <w:t>人。</w:t>
      </w:r>
    </w:p>
    <w:p>
      <w:pPr>
        <w:pStyle w:val="5"/>
        <w:numPr>
          <w:ilvl w:val="0"/>
          <w:numId w:val="8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一个用阿拉伯数字书写的多位数应尽可能避免断开移行；必须移行时，要在分节处断开。</w:t>
      </w:r>
    </w:p>
    <w:p>
      <w:pPr>
        <w:pStyle w:val="5"/>
        <w:numPr>
          <w:ilvl w:val="0"/>
          <w:numId w:val="6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关于约数、概数的写法，一般采用以下方式：</w:t>
      </w:r>
    </w:p>
    <w:p>
      <w:pPr>
        <w:pStyle w:val="5"/>
        <w:numPr>
          <w:ilvl w:val="0"/>
          <w:numId w:val="9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约数和概数表示的是一个不确定值或量值的范围。</w:t>
      </w:r>
    </w:p>
    <w:p>
      <w:pPr>
        <w:pStyle w:val="5"/>
        <w:numPr>
          <w:ilvl w:val="0"/>
          <w:numId w:val="9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下面的写法必须用汉字，连用的两个数字之间应用顿号隔开。例：“二、三米”、“三、四个月”、“十三、四吨”、“二、三百架次”、“五、六万套”。</w:t>
      </w:r>
    </w:p>
    <w:p>
      <w:pPr>
        <w:pStyle w:val="5"/>
        <w:numPr>
          <w:ilvl w:val="0"/>
          <w:numId w:val="9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用阿拉伯数字表示约数和概数，应采取以下写法，如：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</w:rPr>
        <w:t>～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米、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</w:rPr>
        <w:t>～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小时、</w:t>
      </w:r>
      <w:r>
        <w:rPr>
          <w:rFonts w:ascii="仿宋_GB2312" w:eastAsia="仿宋_GB2312"/>
          <w:sz w:val="24"/>
          <w:szCs w:val="24"/>
        </w:rPr>
        <w:t>13</w:t>
      </w:r>
      <w:r>
        <w:rPr>
          <w:rFonts w:hint="eastAsia" w:ascii="仿宋_GB2312" w:hAnsi="宋体" w:eastAsia="仿宋_GB2312"/>
          <w:sz w:val="24"/>
          <w:szCs w:val="24"/>
        </w:rPr>
        <w:t>～</w:t>
      </w:r>
      <w:r>
        <w:rPr>
          <w:rFonts w:ascii="仿宋_GB2312" w:eastAsia="仿宋_GB2312"/>
          <w:sz w:val="24"/>
          <w:szCs w:val="24"/>
        </w:rPr>
        <w:t>14</w:t>
      </w:r>
      <w:r>
        <w:rPr>
          <w:rFonts w:hint="eastAsia" w:ascii="仿宋_GB2312" w:eastAsia="仿宋_GB2312"/>
          <w:sz w:val="24"/>
          <w:szCs w:val="24"/>
        </w:rPr>
        <w:t>吨、</w:t>
      </w:r>
      <w:r>
        <w:rPr>
          <w:rFonts w:ascii="仿宋_GB2312" w:eastAsia="仿宋_GB2312"/>
          <w:sz w:val="24"/>
          <w:szCs w:val="24"/>
        </w:rPr>
        <w:t>45</w:t>
      </w:r>
      <w:r>
        <w:rPr>
          <w:rFonts w:hint="eastAsia" w:ascii="仿宋_GB2312" w:hAnsi="宋体" w:eastAsia="仿宋_GB2312"/>
          <w:sz w:val="24"/>
          <w:szCs w:val="24"/>
        </w:rPr>
        <w:t>～</w:t>
      </w:r>
      <w:r>
        <w:rPr>
          <w:rFonts w:ascii="仿宋_GB2312" w:eastAsia="仿宋_GB2312"/>
          <w:sz w:val="24"/>
          <w:szCs w:val="24"/>
        </w:rPr>
        <w:t>46</w:t>
      </w:r>
      <w:r>
        <w:rPr>
          <w:rFonts w:hint="eastAsia" w:ascii="仿宋_GB2312" w:eastAsia="仿宋_GB2312"/>
          <w:sz w:val="24"/>
          <w:szCs w:val="24"/>
        </w:rPr>
        <w:t>岁、</w:t>
      </w:r>
      <w:r>
        <w:rPr>
          <w:rFonts w:ascii="仿宋_GB2312" w:eastAsia="仿宋_GB2312"/>
          <w:sz w:val="24"/>
          <w:szCs w:val="24"/>
        </w:rPr>
        <w:t>200</w:t>
      </w:r>
      <w:r>
        <w:rPr>
          <w:rFonts w:hint="eastAsia" w:ascii="仿宋_GB2312" w:hAnsi="宋体" w:eastAsia="仿宋_GB2312"/>
          <w:sz w:val="24"/>
          <w:szCs w:val="24"/>
        </w:rPr>
        <w:t>～</w:t>
      </w:r>
      <w:r>
        <w:rPr>
          <w:rFonts w:ascii="仿宋_GB2312" w:eastAsia="仿宋_GB2312"/>
          <w:sz w:val="24"/>
          <w:szCs w:val="24"/>
        </w:rPr>
        <w:t>300</w:t>
      </w:r>
      <w:r>
        <w:rPr>
          <w:rFonts w:hint="eastAsia" w:ascii="仿宋_GB2312" w:eastAsia="仿宋_GB2312"/>
          <w:sz w:val="24"/>
          <w:szCs w:val="24"/>
        </w:rPr>
        <w:t>架次、</w:t>
      </w:r>
      <w:r>
        <w:rPr>
          <w:rFonts w:ascii="仿宋_GB2312" w:eastAsia="仿宋_GB2312"/>
          <w:sz w:val="24"/>
          <w:szCs w:val="24"/>
        </w:rPr>
        <w:t>5</w:t>
      </w:r>
      <w:r>
        <w:rPr>
          <w:rFonts w:hint="eastAsia" w:ascii="仿宋_GB2312" w:hAnsi="宋体" w:eastAsia="仿宋_GB2312"/>
          <w:sz w:val="24"/>
          <w:szCs w:val="24"/>
        </w:rPr>
        <w:t>～</w:t>
      </w:r>
      <w:r>
        <w:rPr>
          <w:rFonts w:ascii="仿宋_GB2312" w:eastAsia="仿宋_GB2312"/>
          <w:sz w:val="24"/>
          <w:szCs w:val="24"/>
        </w:rPr>
        <w:t>6</w:t>
      </w:r>
      <w:r>
        <w:rPr>
          <w:rFonts w:hint="eastAsia" w:ascii="仿宋_GB2312" w:eastAsia="仿宋_GB2312"/>
          <w:sz w:val="24"/>
          <w:szCs w:val="24"/>
        </w:rPr>
        <w:t>万套。</w:t>
      </w:r>
    </w:p>
    <w:p>
      <w:pPr>
        <w:pStyle w:val="5"/>
        <w:numPr>
          <w:ilvl w:val="0"/>
          <w:numId w:val="9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用“……多”、“……余”表示的约数一般用汉字。例：举行全国性评奖十余次；获奖作品有千余件之多；协会拥有三千多名会员，其中三分之二是有成就的中青年。文中出现一组具有统计和比较意义的数字，如其中有精确数字，也有用“……多”、“……余”表示的约数时，为保持上下文体例上的一致性，其约数也可使用阿拉伯数字。</w:t>
      </w:r>
    </w:p>
    <w:p>
      <w:pPr>
        <w:pStyle w:val="5"/>
        <w:ind w:left="1271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例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：从机动财力中拿出</w:t>
      </w:r>
      <w:r>
        <w:rPr>
          <w:rFonts w:ascii="仿宋_GB2312" w:eastAsia="仿宋_GB2312"/>
          <w:sz w:val="24"/>
          <w:szCs w:val="24"/>
        </w:rPr>
        <w:t>1900</w:t>
      </w:r>
      <w:r>
        <w:rPr>
          <w:rFonts w:hint="eastAsia" w:ascii="仿宋_GB2312" w:eastAsia="仿宋_GB2312"/>
          <w:sz w:val="24"/>
          <w:szCs w:val="24"/>
        </w:rPr>
        <w:t>万元，调拨钢材</w:t>
      </w:r>
      <w:r>
        <w:rPr>
          <w:rFonts w:ascii="仿宋_GB2312" w:eastAsia="仿宋_GB2312"/>
          <w:sz w:val="24"/>
          <w:szCs w:val="24"/>
        </w:rPr>
        <w:t>3000</w:t>
      </w:r>
      <w:r>
        <w:rPr>
          <w:rFonts w:hint="eastAsia" w:ascii="仿宋_GB2312" w:eastAsia="仿宋_GB2312"/>
          <w:sz w:val="24"/>
          <w:szCs w:val="24"/>
        </w:rPr>
        <w:t>多吨、水泥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万多吨、柴油</w:t>
      </w:r>
      <w:r>
        <w:rPr>
          <w:rFonts w:ascii="仿宋_GB2312" w:eastAsia="仿宋_GB2312"/>
          <w:sz w:val="24"/>
          <w:szCs w:val="24"/>
        </w:rPr>
        <w:t>140O</w:t>
      </w:r>
      <w:r>
        <w:rPr>
          <w:rFonts w:hint="eastAsia" w:ascii="仿宋_GB2312" w:eastAsia="仿宋_GB2312"/>
          <w:sz w:val="24"/>
          <w:szCs w:val="24"/>
        </w:rPr>
        <w:t>万吨，用于农田水利建设。</w:t>
      </w:r>
    </w:p>
    <w:p>
      <w:pPr>
        <w:pStyle w:val="5"/>
        <w:ind w:left="1271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例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：全市有少数民族干部</w:t>
      </w:r>
      <w:r>
        <w:rPr>
          <w:rFonts w:ascii="仿宋_GB2312" w:eastAsia="仿宋_GB2312"/>
          <w:sz w:val="24"/>
          <w:szCs w:val="24"/>
        </w:rPr>
        <w:t>3.2</w:t>
      </w:r>
      <w:r>
        <w:rPr>
          <w:rFonts w:hint="eastAsia" w:ascii="仿宋_GB2312" w:eastAsia="仿宋_GB2312"/>
          <w:sz w:val="24"/>
          <w:szCs w:val="24"/>
        </w:rPr>
        <w:t>万人，其中省部级、局级、处级、科级干部</w:t>
      </w:r>
      <w:r>
        <w:rPr>
          <w:rFonts w:ascii="仿宋_GB2312" w:eastAsia="仿宋_GB2312"/>
          <w:sz w:val="24"/>
          <w:szCs w:val="24"/>
        </w:rPr>
        <w:t>6000</w:t>
      </w:r>
      <w:r>
        <w:rPr>
          <w:rFonts w:hint="eastAsia" w:ascii="仿宋_GB2312" w:eastAsia="仿宋_GB2312"/>
          <w:sz w:val="24"/>
          <w:szCs w:val="24"/>
        </w:rPr>
        <w:t>多人，有高级职称的</w:t>
      </w:r>
      <w:r>
        <w:rPr>
          <w:rFonts w:ascii="仿宋_GB2312" w:eastAsia="仿宋_GB2312"/>
          <w:sz w:val="24"/>
          <w:szCs w:val="24"/>
        </w:rPr>
        <w:t>1700</w:t>
      </w:r>
      <w:r>
        <w:rPr>
          <w:rFonts w:hint="eastAsia" w:ascii="仿宋_GB2312" w:eastAsia="仿宋_GB2312"/>
          <w:sz w:val="24"/>
          <w:szCs w:val="24"/>
        </w:rPr>
        <w:t>人。</w:t>
      </w:r>
    </w:p>
    <w:p>
      <w:pPr>
        <w:rPr>
          <w:rFonts w:eastAsia="黑体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三、参考注释体例</w:t>
      </w:r>
    </w:p>
    <w:p>
      <w:pPr>
        <w:ind w:firstLine="454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论文应严格遵循文献引征学术规范，统一注释体例。</w:t>
      </w:r>
    </w:p>
    <w:p>
      <w:pPr>
        <w:ind w:firstLine="454"/>
        <w:rPr>
          <w:rFonts w:eastAsia="黑体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具体注释体例参见下文附件</w:t>
      </w: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eastAsia="华文中宋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附件</w:t>
      </w:r>
      <w:r>
        <w:rPr>
          <w:rFonts w:eastAsia="仿宋_GB2312"/>
          <w:sz w:val="24"/>
          <w:szCs w:val="24"/>
        </w:rPr>
        <w:t>2</w:t>
      </w:r>
    </w:p>
    <w:p>
      <w:pPr>
        <w:jc w:val="center"/>
        <w:rPr>
          <w:rFonts w:eastAsia="方正小标宋简体"/>
          <w:sz w:val="28"/>
          <w:szCs w:val="24"/>
        </w:rPr>
      </w:pPr>
      <w:r>
        <w:rPr>
          <w:rFonts w:hint="eastAsia" w:eastAsia="方正小标宋简体"/>
          <w:sz w:val="28"/>
          <w:szCs w:val="24"/>
        </w:rPr>
        <w:t>征文写作参考注释体例</w:t>
      </w:r>
    </w:p>
    <w:p>
      <w:pPr>
        <w:pStyle w:val="3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一、文章采用脚注，每页重新编号；编号序号依次为：①，②，③，</w:t>
      </w:r>
      <w:r>
        <w:rPr>
          <w:rFonts w:ascii="仿宋_GB2312" w:eastAsia="仿宋_GB2312"/>
          <w:sz w:val="24"/>
          <w:szCs w:val="24"/>
        </w:rPr>
        <w:t>……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二、统一基本规格（包括标点符号）</w:t>
      </w:r>
    </w:p>
    <w:p>
      <w:pPr>
        <w:spacing w:line="240" w:lineRule="atLeast"/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◆</w:t>
      </w:r>
      <w:r>
        <w:rPr>
          <w:rFonts w:ascii="仿宋_GB2312" w:eastAsia="仿宋_GB2312"/>
          <w:sz w:val="24"/>
          <w:szCs w:val="24"/>
        </w:rPr>
        <w:t xml:space="preserve"> [</w:t>
      </w:r>
      <w:r>
        <w:rPr>
          <w:rFonts w:hint="eastAsia" w:ascii="仿宋_GB2312" w:eastAsia="仿宋_GB2312"/>
          <w:sz w:val="24"/>
          <w:szCs w:val="24"/>
        </w:rPr>
        <w:t>国籍</w:t>
      </w:r>
      <w:r>
        <w:rPr>
          <w:rFonts w:ascii="仿宋_GB2312" w:eastAsia="仿宋_GB2312"/>
          <w:sz w:val="24"/>
          <w:szCs w:val="24"/>
        </w:rPr>
        <w:t>]</w:t>
      </w:r>
      <w:r>
        <w:rPr>
          <w:rFonts w:hint="eastAsia" w:ascii="仿宋_GB2312" w:eastAsia="仿宋_GB2312"/>
          <w:sz w:val="24"/>
          <w:szCs w:val="24"/>
        </w:rPr>
        <w:t>主要责任者【两人以上用顿号隔开；以下译者、校订者同】（编或主编）：《文献名称》，译者，校订者，出版社与出版年代及版次，第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页。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三、注释例</w:t>
      </w:r>
    </w:p>
    <w:p>
      <w:pPr>
        <w:ind w:firstLine="454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（一）著作类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[</w:t>
      </w:r>
      <w:r>
        <w:rPr>
          <w:rFonts w:hint="eastAsia" w:ascii="仿宋_GB2312" w:eastAsia="仿宋_GB2312"/>
          <w:sz w:val="24"/>
          <w:szCs w:val="24"/>
        </w:rPr>
        <w:t>英</w:t>
      </w:r>
      <w:r>
        <w:rPr>
          <w:rFonts w:ascii="仿宋_GB2312" w:eastAsia="仿宋_GB2312"/>
          <w:sz w:val="24"/>
          <w:szCs w:val="24"/>
        </w:rPr>
        <w:t>]F.H.</w:t>
      </w:r>
      <w:r>
        <w:rPr>
          <w:rFonts w:hint="eastAsia" w:ascii="仿宋_GB2312" w:eastAsia="仿宋_GB2312"/>
          <w:sz w:val="24"/>
          <w:szCs w:val="24"/>
        </w:rPr>
        <w:t>劳森、</w:t>
      </w:r>
      <w:r>
        <w:rPr>
          <w:rFonts w:ascii="仿宋_GB2312" w:eastAsia="仿宋_GB2312"/>
          <w:sz w:val="24"/>
          <w:szCs w:val="24"/>
        </w:rPr>
        <w:t>B.</w:t>
      </w:r>
      <w:r>
        <w:rPr>
          <w:rFonts w:hint="eastAsia" w:ascii="仿宋_GB2312" w:eastAsia="仿宋_GB2312"/>
          <w:sz w:val="24"/>
          <w:szCs w:val="24"/>
        </w:rPr>
        <w:t>拉登：《财产法》（第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版），施天涛、梅慎实、孔祥俊译，中国大百科全书出版社</w:t>
      </w:r>
      <w:r>
        <w:rPr>
          <w:rFonts w:ascii="仿宋_GB2312" w:eastAsia="仿宋_GB2312"/>
          <w:sz w:val="24"/>
          <w:szCs w:val="24"/>
        </w:rPr>
        <w:t>1998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月第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版，第</w:t>
      </w:r>
      <w:r>
        <w:rPr>
          <w:rFonts w:ascii="仿宋_GB2312" w:eastAsia="仿宋_GB2312"/>
          <w:sz w:val="24"/>
          <w:szCs w:val="24"/>
        </w:rPr>
        <w:t>89-90</w:t>
      </w:r>
      <w:r>
        <w:rPr>
          <w:rFonts w:hint="eastAsia" w:ascii="仿宋_GB2312" w:eastAsia="仿宋_GB2312"/>
          <w:sz w:val="24"/>
          <w:szCs w:val="24"/>
        </w:rPr>
        <w:t>页。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魏振瀛（主编）：《民法》，北京大学出版社、高等教育出版社</w:t>
      </w:r>
      <w:r>
        <w:rPr>
          <w:rFonts w:ascii="仿宋_GB2312" w:eastAsia="仿宋_GB2312"/>
          <w:sz w:val="24"/>
          <w:szCs w:val="24"/>
        </w:rPr>
        <w:t>2000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9</w:t>
      </w:r>
      <w:r>
        <w:rPr>
          <w:rFonts w:hint="eastAsia" w:ascii="仿宋_GB2312" w:eastAsia="仿宋_GB2312"/>
          <w:sz w:val="24"/>
          <w:szCs w:val="24"/>
        </w:rPr>
        <w:t>月第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版，第</w:t>
      </w:r>
      <w:r>
        <w:rPr>
          <w:rFonts w:ascii="仿宋_GB2312" w:eastAsia="仿宋_GB2312"/>
          <w:sz w:val="24"/>
          <w:szCs w:val="24"/>
        </w:rPr>
        <w:t>90</w:t>
      </w:r>
      <w:r>
        <w:rPr>
          <w:rFonts w:hint="eastAsia" w:ascii="仿宋_GB2312" w:eastAsia="仿宋_GB2312"/>
          <w:sz w:val="24"/>
          <w:szCs w:val="24"/>
        </w:rPr>
        <w:t>页。</w:t>
      </w:r>
    </w:p>
    <w:p>
      <w:pPr>
        <w:ind w:firstLine="454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（二）论文类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易继明：《评财产权劳动学说》，载《法学研究》</w:t>
      </w:r>
      <w:r>
        <w:rPr>
          <w:rFonts w:ascii="仿宋_GB2312" w:eastAsia="仿宋_GB2312"/>
          <w:sz w:val="24"/>
          <w:szCs w:val="24"/>
        </w:rPr>
        <w:t>2000</w:t>
      </w:r>
      <w:r>
        <w:rPr>
          <w:rFonts w:hint="eastAsia" w:ascii="仿宋_GB2312" w:eastAsia="仿宋_GB2312"/>
          <w:sz w:val="24"/>
          <w:szCs w:val="24"/>
        </w:rPr>
        <w:t>年第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期。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梁慧星：《制定中国物权法的若干问题》，载梁慧星（主编）：《民商法论丛》（</w:t>
      </w:r>
      <w:r>
        <w:rPr>
          <w:rFonts w:ascii="仿宋_GB2312" w:eastAsia="仿宋_GB2312"/>
          <w:sz w:val="24"/>
          <w:szCs w:val="24"/>
        </w:rPr>
        <w:t>2000</w:t>
      </w:r>
      <w:r>
        <w:rPr>
          <w:rFonts w:hint="eastAsia" w:ascii="仿宋_GB2312" w:eastAsia="仿宋_GB2312"/>
          <w:sz w:val="24"/>
          <w:szCs w:val="24"/>
        </w:rPr>
        <w:t>年第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号总第</w:t>
      </w:r>
      <w:r>
        <w:rPr>
          <w:rFonts w:ascii="仿宋_GB2312" w:eastAsia="仿宋_GB2312"/>
          <w:sz w:val="24"/>
          <w:szCs w:val="24"/>
        </w:rPr>
        <w:t>16</w:t>
      </w:r>
      <w:r>
        <w:rPr>
          <w:rFonts w:hint="eastAsia" w:ascii="仿宋_GB2312" w:eastAsia="仿宋_GB2312"/>
          <w:sz w:val="24"/>
          <w:szCs w:val="24"/>
        </w:rPr>
        <w:t>卷），金桥文化出版（香港）有限公司</w:t>
      </w:r>
      <w:r>
        <w:rPr>
          <w:rFonts w:ascii="仿宋_GB2312" w:eastAsia="仿宋_GB2312"/>
          <w:sz w:val="24"/>
          <w:szCs w:val="24"/>
        </w:rPr>
        <w:t>2000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8</w:t>
      </w:r>
      <w:r>
        <w:rPr>
          <w:rFonts w:hint="eastAsia" w:ascii="仿宋_GB2312" w:eastAsia="仿宋_GB2312"/>
          <w:sz w:val="24"/>
          <w:szCs w:val="24"/>
        </w:rPr>
        <w:t>月第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版，第</w:t>
      </w:r>
      <w:r>
        <w:rPr>
          <w:rFonts w:ascii="仿宋_GB2312" w:eastAsia="仿宋_GB2312"/>
          <w:sz w:val="24"/>
          <w:szCs w:val="24"/>
        </w:rPr>
        <w:t>342</w:t>
      </w:r>
      <w:r>
        <w:rPr>
          <w:rFonts w:hint="eastAsia" w:ascii="仿宋_GB2312" w:eastAsia="仿宋_GB2312"/>
          <w:sz w:val="24"/>
          <w:szCs w:val="24"/>
        </w:rPr>
        <w:t>页以下。</w:t>
      </w:r>
    </w:p>
    <w:p>
      <w:pPr>
        <w:ind w:firstLine="454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（三）报纸类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沈宗灵：《评“法律全球化”理论》，载《人民日报》</w:t>
      </w:r>
      <w:r>
        <w:rPr>
          <w:rFonts w:ascii="仿宋_GB2312" w:eastAsia="仿宋_GB2312"/>
          <w:sz w:val="24"/>
          <w:szCs w:val="24"/>
        </w:rPr>
        <w:t>1999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12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>11</w:t>
      </w:r>
      <w:r>
        <w:rPr>
          <w:rFonts w:hint="eastAsia" w:ascii="仿宋_GB2312" w:eastAsia="仿宋_GB2312"/>
          <w:sz w:val="24"/>
          <w:szCs w:val="24"/>
        </w:rPr>
        <w:t>日第</w:t>
      </w:r>
      <w:r>
        <w:rPr>
          <w:rFonts w:ascii="仿宋_GB2312" w:eastAsia="仿宋_GB2312"/>
          <w:sz w:val="24"/>
          <w:szCs w:val="24"/>
        </w:rPr>
        <w:t>6</w:t>
      </w:r>
      <w:r>
        <w:rPr>
          <w:rFonts w:hint="eastAsia" w:ascii="仿宋_GB2312" w:eastAsia="仿宋_GB2312"/>
          <w:sz w:val="24"/>
          <w:szCs w:val="24"/>
        </w:rPr>
        <w:t>版。</w:t>
      </w:r>
    </w:p>
    <w:p>
      <w:pPr>
        <w:ind w:firstLine="454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（四）文集和选集类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王泽鉴：《物之瑕疵与不当得利》，载王泽鉴：《民法学说与判例研究》（第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册），（台湾）三民书局</w:t>
      </w:r>
      <w:r>
        <w:rPr>
          <w:rFonts w:ascii="仿宋_GB2312" w:eastAsia="仿宋_GB2312"/>
          <w:sz w:val="24"/>
          <w:szCs w:val="24"/>
        </w:rPr>
        <w:t>1996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11</w:t>
      </w:r>
      <w:r>
        <w:rPr>
          <w:rFonts w:hint="eastAsia" w:ascii="仿宋_GB2312" w:eastAsia="仿宋_GB2312"/>
          <w:sz w:val="24"/>
          <w:szCs w:val="24"/>
        </w:rPr>
        <w:t>月版，第</w:t>
      </w:r>
      <w:r>
        <w:rPr>
          <w:rFonts w:ascii="仿宋_GB2312" w:eastAsia="仿宋_GB2312"/>
          <w:sz w:val="24"/>
          <w:szCs w:val="24"/>
        </w:rPr>
        <w:t>109</w:t>
      </w:r>
      <w:r>
        <w:rPr>
          <w:rFonts w:hint="eastAsia" w:ascii="仿宋_GB2312" w:eastAsia="仿宋_GB2312"/>
          <w:sz w:val="24"/>
          <w:szCs w:val="24"/>
        </w:rPr>
        <w:t>页。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[</w:t>
      </w:r>
      <w:r>
        <w:rPr>
          <w:rFonts w:hint="eastAsia" w:ascii="仿宋_GB2312" w:eastAsia="仿宋_GB2312"/>
          <w:sz w:val="24"/>
          <w:szCs w:val="24"/>
        </w:rPr>
        <w:t>美</w:t>
      </w:r>
      <w:r>
        <w:rPr>
          <w:rFonts w:ascii="仿宋_GB2312" w:eastAsia="仿宋_GB2312"/>
          <w:sz w:val="24"/>
          <w:szCs w:val="24"/>
        </w:rPr>
        <w:t>]</w:t>
      </w:r>
      <w:r>
        <w:rPr>
          <w:rFonts w:hint="eastAsia" w:ascii="仿宋_GB2312" w:eastAsia="仿宋_GB2312"/>
          <w:sz w:val="24"/>
          <w:szCs w:val="24"/>
        </w:rPr>
        <w:t>哈罗德·拉斯韦尔：《政策分析研究：情报与评价功能》，载</w:t>
      </w:r>
      <w:r>
        <w:rPr>
          <w:rFonts w:ascii="仿宋_GB2312" w:eastAsia="仿宋_GB2312"/>
          <w:sz w:val="24"/>
          <w:szCs w:val="24"/>
        </w:rPr>
        <w:t>[</w:t>
      </w:r>
      <w:r>
        <w:rPr>
          <w:rFonts w:hint="eastAsia" w:ascii="仿宋_GB2312" w:eastAsia="仿宋_GB2312"/>
          <w:sz w:val="24"/>
          <w:szCs w:val="24"/>
        </w:rPr>
        <w:t>美</w:t>
      </w:r>
      <w:r>
        <w:rPr>
          <w:rFonts w:ascii="仿宋_GB2312" w:eastAsia="仿宋_GB2312"/>
          <w:sz w:val="24"/>
          <w:szCs w:val="24"/>
        </w:rPr>
        <w:t>]</w:t>
      </w:r>
      <w:r>
        <w:rPr>
          <w:rFonts w:hint="eastAsia" w:ascii="仿宋_GB2312" w:eastAsia="仿宋_GB2312"/>
          <w:sz w:val="24"/>
          <w:szCs w:val="24"/>
        </w:rPr>
        <w:t>格林斯坦、波尔斯比（编）：《政治学手册精选》（上卷），竺乾威、周琪、胡君芳译，王泸宁校，商务印书馆</w:t>
      </w:r>
      <w:r>
        <w:rPr>
          <w:rFonts w:ascii="仿宋_GB2312" w:eastAsia="仿宋_GB2312"/>
          <w:sz w:val="24"/>
          <w:szCs w:val="24"/>
        </w:rPr>
        <w:t>1996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月第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版，第</w:t>
      </w:r>
      <w:r>
        <w:rPr>
          <w:rFonts w:ascii="仿宋_GB2312" w:eastAsia="仿宋_GB2312"/>
          <w:sz w:val="24"/>
          <w:szCs w:val="24"/>
        </w:rPr>
        <w:t>557</w:t>
      </w:r>
      <w:r>
        <w:rPr>
          <w:rFonts w:hint="eastAsia" w:ascii="仿宋_GB2312" w:eastAsia="仿宋_GB2312"/>
          <w:sz w:val="24"/>
          <w:szCs w:val="24"/>
        </w:rPr>
        <w:t>页。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《马克思恩格斯选集》（第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卷），人民出版社</w:t>
      </w:r>
      <w:r>
        <w:rPr>
          <w:rFonts w:ascii="仿宋_GB2312" w:eastAsia="仿宋_GB2312"/>
          <w:sz w:val="24"/>
          <w:szCs w:val="24"/>
        </w:rPr>
        <w:t>1975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7</w:t>
      </w:r>
      <w:r>
        <w:rPr>
          <w:rFonts w:hint="eastAsia" w:ascii="仿宋_GB2312" w:eastAsia="仿宋_GB2312"/>
          <w:sz w:val="24"/>
          <w:szCs w:val="24"/>
        </w:rPr>
        <w:t>月第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版，第</w:t>
      </w:r>
      <w:r>
        <w:rPr>
          <w:rFonts w:ascii="仿宋_GB2312" w:eastAsia="仿宋_GB2312"/>
          <w:sz w:val="24"/>
          <w:szCs w:val="24"/>
        </w:rPr>
        <w:t>78</w:t>
      </w:r>
      <w:r>
        <w:rPr>
          <w:rFonts w:hint="eastAsia" w:ascii="仿宋_GB2312" w:eastAsia="仿宋_GB2312"/>
          <w:sz w:val="24"/>
          <w:szCs w:val="24"/>
        </w:rPr>
        <w:t>页。</w:t>
      </w:r>
    </w:p>
    <w:p>
      <w:pPr>
        <w:ind w:firstLine="454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（四）古籍、辞书类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《管子·牧民第一》卷一。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[</w:t>
      </w:r>
      <w:r>
        <w:rPr>
          <w:rFonts w:hint="eastAsia" w:ascii="仿宋_GB2312" w:eastAsia="仿宋_GB2312"/>
          <w:sz w:val="24"/>
          <w:szCs w:val="24"/>
        </w:rPr>
        <w:t>清</w:t>
      </w:r>
      <w:r>
        <w:rPr>
          <w:rFonts w:ascii="仿宋_GB2312" w:eastAsia="仿宋_GB2312"/>
          <w:sz w:val="24"/>
          <w:szCs w:val="24"/>
        </w:rPr>
        <w:t>]</w:t>
      </w:r>
      <w:r>
        <w:rPr>
          <w:rFonts w:hint="eastAsia" w:ascii="仿宋_GB2312" w:eastAsia="仿宋_GB2312"/>
          <w:sz w:val="24"/>
          <w:szCs w:val="24"/>
        </w:rPr>
        <w:t>沈家本：《沈寄簃先生遗书》甲编，第</w:t>
      </w:r>
      <w:r>
        <w:rPr>
          <w:rFonts w:ascii="仿宋_GB2312" w:eastAsia="仿宋_GB2312"/>
          <w:sz w:val="24"/>
          <w:szCs w:val="24"/>
        </w:rPr>
        <w:t>43</w:t>
      </w:r>
      <w:r>
        <w:rPr>
          <w:rFonts w:hint="eastAsia" w:ascii="仿宋_GB2312" w:eastAsia="仿宋_GB2312"/>
          <w:sz w:val="24"/>
          <w:szCs w:val="24"/>
        </w:rPr>
        <w:t>卷。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●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《辞海》，上海辞书出版社</w:t>
      </w:r>
      <w:r>
        <w:rPr>
          <w:rFonts w:ascii="仿宋_GB2312" w:eastAsia="仿宋_GB2312"/>
          <w:sz w:val="24"/>
          <w:szCs w:val="24"/>
        </w:rPr>
        <w:t>1979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9</w:t>
      </w:r>
      <w:r>
        <w:rPr>
          <w:rFonts w:hint="eastAsia" w:ascii="仿宋_GB2312" w:eastAsia="仿宋_GB2312"/>
          <w:sz w:val="24"/>
          <w:szCs w:val="24"/>
        </w:rPr>
        <w:t>月第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版，第</w:t>
      </w:r>
      <w:r>
        <w:rPr>
          <w:rFonts w:ascii="仿宋_GB2312" w:eastAsia="仿宋_GB2312"/>
          <w:sz w:val="24"/>
          <w:szCs w:val="24"/>
        </w:rPr>
        <w:t>983</w:t>
      </w:r>
      <w:r>
        <w:rPr>
          <w:rFonts w:hint="eastAsia" w:ascii="仿宋_GB2312" w:eastAsia="仿宋_GB2312"/>
          <w:sz w:val="24"/>
          <w:szCs w:val="24"/>
        </w:rPr>
        <w:t>页。</w:t>
      </w:r>
    </w:p>
    <w:p>
      <w:pPr>
        <w:ind w:firstLine="454"/>
        <w:rPr>
          <w:rFonts w:eastAsia="楷体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（五）英文类</w:t>
      </w:r>
    </w:p>
    <w:p>
      <w:pPr>
        <w:ind w:firstLine="454"/>
        <w:rPr>
          <w:rFonts w:eastAsia="黑体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、英文著作</w:t>
      </w:r>
    </w:p>
    <w:p>
      <w:pPr>
        <w:numPr>
          <w:ilvl w:val="0"/>
          <w:numId w:val="10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Robert Gilpin,</w:t>
      </w:r>
      <w:r>
        <w:rPr>
          <w:i/>
          <w:sz w:val="24"/>
          <w:szCs w:val="24"/>
        </w:rPr>
        <w:t xml:space="preserve"> Economy of International Relations</w:t>
      </w:r>
      <w:r>
        <w:rPr>
          <w:sz w:val="24"/>
          <w:szCs w:val="24"/>
        </w:rPr>
        <w:t>, Princeton: Princeton University Press,1986, p.5.</w:t>
      </w:r>
    </w:p>
    <w:p>
      <w:pPr>
        <w:numPr>
          <w:ilvl w:val="0"/>
          <w:numId w:val="10"/>
        </w:numPr>
        <w:tabs>
          <w:tab w:val="left" w:pos="840"/>
        </w:tabs>
        <w:rPr>
          <w:sz w:val="24"/>
          <w:szCs w:val="24"/>
        </w:rPr>
      </w:pPr>
      <w:r>
        <w:rPr>
          <w:i/>
          <w:sz w:val="24"/>
          <w:szCs w:val="24"/>
        </w:rPr>
        <w:t>See</w:t>
      </w:r>
      <w:r>
        <w:rPr>
          <w:sz w:val="24"/>
          <w:szCs w:val="24"/>
        </w:rPr>
        <w:t xml:space="preserve"> G. Gordon &amp; P. Miller (ed.), </w:t>
      </w:r>
      <w:r>
        <w:rPr>
          <w:i/>
          <w:sz w:val="24"/>
          <w:szCs w:val="24"/>
        </w:rPr>
        <w:t>The Foucault Effect: Studies in Governmentality</w:t>
      </w:r>
      <w:r>
        <w:rPr>
          <w:sz w:val="24"/>
          <w:szCs w:val="24"/>
        </w:rPr>
        <w:t>, Hemel Hempstead, England: Harvester Wheatsheaf, 1991, pp.32-35.</w:t>
      </w:r>
    </w:p>
    <w:p>
      <w:pPr>
        <w:ind w:firstLine="454"/>
        <w:rPr>
          <w:rFonts w:eastAsia="黑体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、文集中的论文</w:t>
      </w:r>
    </w:p>
    <w:p>
      <w:pPr>
        <w:ind w:firstLine="454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K.J.Leyser, “The Polemics of the Papal Revolution ”,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 xml:space="preserve"> Berly Smally ed., </w:t>
      </w:r>
      <w:r>
        <w:rPr>
          <w:i/>
          <w:sz w:val="24"/>
          <w:szCs w:val="24"/>
        </w:rPr>
        <w:t>Trends in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Medieval Political Thought.</w:t>
      </w:r>
      <w:r>
        <w:rPr>
          <w:sz w:val="24"/>
          <w:szCs w:val="24"/>
        </w:rPr>
        <w:t xml:space="preserve"> Oxford: Oxford University Press, 1965,3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ed., p.53.</w:t>
      </w:r>
    </w:p>
    <w:p>
      <w:pPr>
        <w:ind w:firstLine="454"/>
        <w:rPr>
          <w:rFonts w:eastAsia="黑体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、期刊中的论文</w:t>
      </w:r>
    </w:p>
    <w:p>
      <w:pPr>
        <w:ind w:firstLine="454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Alessandro Giuliani, “The Influence of Rhetoric of the Law of Evidence and Pleading”,</w:t>
      </w:r>
      <w:r>
        <w:rPr>
          <w:i/>
          <w:sz w:val="24"/>
          <w:szCs w:val="24"/>
        </w:rPr>
        <w:t xml:space="preserve"> in Judical Review</w:t>
      </w:r>
      <w:r>
        <w:rPr>
          <w:sz w:val="24"/>
          <w:szCs w:val="24"/>
        </w:rPr>
        <w:t>, 62(1969), p.231.</w:t>
      </w:r>
    </w:p>
    <w:p>
      <w:pPr>
        <w:ind w:firstLine="454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四、其他文种</w:t>
      </w:r>
    </w:p>
    <w:p>
      <w:pPr>
        <w:ind w:firstLine="45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从该文种注释体例或习惯。</w:t>
      </w:r>
    </w:p>
    <w:p>
      <w:pPr>
        <w:ind w:firstLine="454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五、其他说明</w:t>
      </w:r>
    </w:p>
    <w:p>
      <w:pPr>
        <w:pStyle w:val="6"/>
        <w:ind w:left="0" w:firstLine="454"/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（一）引自同一文献者，同样应完整地注释，不得省略为“见前注”或“前引”等。</w:t>
      </w:r>
    </w:p>
    <w:p>
      <w:pPr>
        <w:pStyle w:val="6"/>
        <w:ind w:left="0" w:firstLine="454"/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（二）非引用原文，注释前加“参见”（英文为“</w:t>
      </w:r>
      <w:r>
        <w:rPr>
          <w:rFonts w:ascii="仿宋_GB2312" w:eastAsia="仿宋_GB2312"/>
          <w:i/>
          <w:sz w:val="24"/>
          <w:szCs w:val="24"/>
        </w:rPr>
        <w:t>See</w:t>
      </w:r>
      <w:r>
        <w:rPr>
          <w:rFonts w:hint="eastAsia" w:ascii="仿宋_GB2312" w:eastAsia="仿宋_GB2312"/>
          <w:sz w:val="24"/>
          <w:szCs w:val="24"/>
        </w:rPr>
        <w:t>”）；如同时参见其它著述，则再加“又参见”。</w:t>
      </w:r>
    </w:p>
    <w:p>
      <w:pPr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（三）引用资料非原始出处，注明“转引自”。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eastAsia="华文中宋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附件</w:t>
      </w:r>
      <w:r>
        <w:rPr>
          <w:rFonts w:eastAsia="仿宋_GB2312"/>
          <w:sz w:val="24"/>
          <w:szCs w:val="24"/>
        </w:rPr>
        <w:t>3</w:t>
      </w:r>
    </w:p>
    <w:p>
      <w:pPr>
        <w:jc w:val="center"/>
        <w:rPr>
          <w:b/>
          <w:sz w:val="28"/>
          <w:szCs w:val="24"/>
        </w:rPr>
      </w:pPr>
      <w:r>
        <w:rPr>
          <w:rFonts w:hint="eastAsia" w:eastAsia="方正小标宋简体"/>
          <w:sz w:val="28"/>
          <w:szCs w:val="24"/>
        </w:rPr>
        <w:t>参考格式样本</w:t>
      </w:r>
    </w:p>
    <w:p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标题用三号字体，宋体，加粗，居中</w:t>
      </w:r>
    </w:p>
    <w:p>
      <w:pPr>
        <w:jc w:val="center"/>
        <w:rPr>
          <w:b/>
          <w:sz w:val="28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b/>
          <w:sz w:val="28"/>
          <w:szCs w:val="24"/>
        </w:rPr>
        <w:t>——</w:t>
      </w:r>
      <w:r>
        <w:rPr>
          <w:rFonts w:hint="eastAsia"/>
          <w:sz w:val="28"/>
          <w:szCs w:val="24"/>
        </w:rPr>
        <w:t>如有副标题，四号，宋体，主标题偏右</w:t>
      </w:r>
    </w:p>
    <w:p>
      <w:pPr>
        <w:spacing w:before="156" w:beforeLines="50" w:after="312" w:afterLines="100"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作者姓名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居中，</w:t>
      </w:r>
      <w:r>
        <w:rPr>
          <w:rFonts w:hint="eastAsia" w:ascii="宋体" w:hAnsi="宋体"/>
          <w:sz w:val="24"/>
          <w:szCs w:val="24"/>
        </w:rPr>
        <w:t>段前</w:t>
      </w:r>
      <w:r>
        <w:rPr>
          <w:rFonts w:ascii="宋体" w:hAnsi="宋体"/>
          <w:sz w:val="24"/>
          <w:szCs w:val="24"/>
        </w:rPr>
        <w:t>0.5</w:t>
      </w:r>
      <w:r>
        <w:rPr>
          <w:rFonts w:hint="eastAsia" w:ascii="宋体" w:hAnsi="宋体"/>
          <w:sz w:val="24"/>
          <w:szCs w:val="24"/>
        </w:rPr>
        <w:t>行，段后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行，加脚注</w:t>
      </w:r>
      <w:r>
        <w:rPr>
          <w:rStyle w:val="18"/>
          <w:rFonts w:ascii="宋体"/>
          <w:sz w:val="24"/>
          <w:szCs w:val="24"/>
        </w:rPr>
        <w:footnoteReference w:id="0"/>
      </w:r>
    </w:p>
    <w:p>
      <w:pPr>
        <w:spacing w:line="440" w:lineRule="exact"/>
        <w:rPr>
          <w:rFonts w:ascii="楷体_GB2312" w:eastAsia="楷体_GB2312"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>
        <w:rPr>
          <w:rFonts w:hint="eastAsia"/>
          <w:sz w:val="24"/>
          <w:szCs w:val="24"/>
        </w:rPr>
        <w:t>摘要</w:t>
      </w:r>
      <w:r>
        <w:rPr>
          <w:rFonts w:hint="eastAsia"/>
          <w:b/>
          <w:sz w:val="24"/>
          <w:szCs w:val="24"/>
        </w:rPr>
        <w:t>】</w:t>
      </w:r>
      <w:r>
        <w:rPr>
          <w:rFonts w:hint="eastAsia" w:ascii="楷体_GB2312" w:eastAsia="楷体_GB2312"/>
          <w:sz w:val="24"/>
          <w:szCs w:val="24"/>
        </w:rPr>
        <w:t>论文摘要用楷体，小四号字体，</w:t>
      </w:r>
      <w:r>
        <w:rPr>
          <w:rFonts w:ascii="楷体_GB2312" w:eastAsia="楷体_GB2312"/>
          <w:sz w:val="24"/>
          <w:szCs w:val="24"/>
        </w:rPr>
        <w:t>22</w:t>
      </w:r>
      <w:r>
        <w:rPr>
          <w:rFonts w:hint="eastAsia" w:ascii="楷体_GB2312" w:eastAsia="楷体_GB2312"/>
          <w:sz w:val="24"/>
          <w:szCs w:val="24"/>
        </w:rPr>
        <w:t>磅行间距。论文摘要用楷体，小四号字体，</w:t>
      </w:r>
      <w:r>
        <w:rPr>
          <w:rFonts w:ascii="楷体_GB2312" w:eastAsia="楷体_GB2312"/>
          <w:sz w:val="24"/>
          <w:szCs w:val="24"/>
        </w:rPr>
        <w:t>22</w:t>
      </w:r>
      <w:r>
        <w:rPr>
          <w:rFonts w:hint="eastAsia" w:ascii="楷体_GB2312" w:eastAsia="楷体_GB2312"/>
          <w:sz w:val="24"/>
          <w:szCs w:val="24"/>
        </w:rPr>
        <w:t>磅行间距。论文摘要用楷体，小四号字体，</w:t>
      </w:r>
      <w:r>
        <w:rPr>
          <w:rFonts w:ascii="楷体_GB2312" w:eastAsia="楷体_GB2312"/>
          <w:sz w:val="24"/>
          <w:szCs w:val="24"/>
        </w:rPr>
        <w:t>22</w:t>
      </w:r>
      <w:r>
        <w:rPr>
          <w:rFonts w:hint="eastAsia" w:ascii="楷体_GB2312" w:eastAsia="楷体_GB2312"/>
          <w:sz w:val="24"/>
          <w:szCs w:val="24"/>
        </w:rPr>
        <w:t>磅行间距。论文摘要用楷体，小四号字体，</w:t>
      </w:r>
      <w:r>
        <w:rPr>
          <w:rFonts w:ascii="楷体_GB2312" w:eastAsia="楷体_GB2312"/>
          <w:sz w:val="24"/>
          <w:szCs w:val="24"/>
        </w:rPr>
        <w:t>22</w:t>
      </w:r>
      <w:r>
        <w:rPr>
          <w:rFonts w:hint="eastAsia" w:ascii="楷体_GB2312" w:eastAsia="楷体_GB2312"/>
          <w:sz w:val="24"/>
          <w:szCs w:val="24"/>
        </w:rPr>
        <w:t>磅行间距。</w:t>
      </w:r>
    </w:p>
    <w:p>
      <w:pPr>
        <w:spacing w:line="440" w:lineRule="exact"/>
        <w:rPr>
          <w:rFonts w:ascii="宋体"/>
          <w:sz w:val="24"/>
          <w:szCs w:val="24"/>
        </w:rPr>
      </w:pPr>
    </w:p>
    <w:p>
      <w:pPr>
        <w:spacing w:line="44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关键词宋体加粗：</w:t>
      </w:r>
      <w:r>
        <w:rPr>
          <w:rFonts w:hint="eastAsia" w:ascii="宋体" w:hAnsi="宋体"/>
          <w:sz w:val="24"/>
          <w:szCs w:val="24"/>
        </w:rPr>
        <w:t>关键词宋体小四、关键词宋体小四、关键词宋体小四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</w:t>
      </w:r>
      <w:r>
        <w:rPr>
          <w:rStyle w:val="18"/>
          <w:rFonts w:ascii="宋体"/>
          <w:sz w:val="24"/>
          <w:szCs w:val="24"/>
        </w:rPr>
        <w:footnoteReference w:id="1"/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</w:t>
      </w:r>
    </w:p>
    <w:p>
      <w:pPr>
        <w:spacing w:before="312" w:beforeLines="100" w:after="156" w:afterLines="50" w:line="440" w:lineRule="exact"/>
        <w:jc w:val="center"/>
        <w:rPr>
          <w:rFonts w:asci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一、一级标题，四号，宋体，加粗，居中，段前一行，段后</w:t>
      </w:r>
      <w:r>
        <w:rPr>
          <w:rFonts w:ascii="宋体" w:hAnsi="宋体"/>
          <w:b/>
          <w:sz w:val="28"/>
          <w:szCs w:val="24"/>
        </w:rPr>
        <w:t>0.5</w:t>
      </w:r>
      <w:r>
        <w:rPr>
          <w:rFonts w:hint="eastAsia" w:ascii="宋体" w:hAnsi="宋体"/>
          <w:b/>
          <w:sz w:val="28"/>
          <w:szCs w:val="24"/>
        </w:rPr>
        <w:t>行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</w:t>
      </w:r>
    </w:p>
    <w:p>
      <w:pPr>
        <w:numPr>
          <w:ilvl w:val="0"/>
          <w:numId w:val="11"/>
        </w:numPr>
        <w:spacing w:line="44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二级小标题：宋体，小四，加粗</w:t>
      </w:r>
      <w:r>
        <w:rPr>
          <w:rStyle w:val="18"/>
          <w:rFonts w:ascii="宋体"/>
          <w:b/>
          <w:sz w:val="24"/>
          <w:szCs w:val="24"/>
        </w:rPr>
        <w:footnoteReference w:id="2"/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</w:t>
      </w:r>
    </w:p>
    <w:p>
      <w:pPr>
        <w:numPr>
          <w:ilvl w:val="0"/>
          <w:numId w:val="11"/>
        </w:numPr>
        <w:tabs>
          <w:tab w:val="clear" w:pos="840"/>
        </w:tabs>
        <w:spacing w:line="44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二级小标题：宋体，小四，加粗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</w:t>
      </w:r>
    </w:p>
    <w:p>
      <w:pPr>
        <w:spacing w:line="440" w:lineRule="exact"/>
        <w:ind w:left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）三级小标题</w:t>
      </w:r>
    </w:p>
    <w:p>
      <w:pPr>
        <w:spacing w:line="440" w:lineRule="exact"/>
        <w:ind w:left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）三级小标题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</w:t>
      </w:r>
    </w:p>
    <w:p>
      <w:pPr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磅行间距，每段前空两格。正文与摘要间空一行，宋体，小四号字体，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磅行间距，每段前空两格。</w:t>
      </w:r>
    </w:p>
    <w:p>
      <w:pPr>
        <w:spacing w:line="440" w:lineRule="exact"/>
        <w:ind w:left="480"/>
        <w:rPr>
          <w:rFonts w:ascii="宋体"/>
          <w:sz w:val="24"/>
          <w:szCs w:val="24"/>
        </w:rPr>
      </w:pP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【参考文献】</w:t>
      </w:r>
    </w:p>
    <w:p>
      <w:pPr>
        <w:spacing w:line="440" w:lineRule="exact"/>
        <w:rPr>
          <w:rFonts w:ascii="楷体_GB2312" w:hAnsi="宋体" w:eastAsia="楷体_GB2312"/>
          <w:sz w:val="24"/>
          <w:szCs w:val="24"/>
        </w:rPr>
      </w:pPr>
      <w:r>
        <w:rPr>
          <w:rFonts w:ascii="楷体_GB2312" w:hAnsi="宋体" w:eastAsia="楷体_GB2312"/>
          <w:sz w:val="24"/>
          <w:szCs w:val="24"/>
        </w:rPr>
        <w:t>1</w:t>
      </w:r>
      <w:r>
        <w:rPr>
          <w:rFonts w:hint="eastAsia" w:ascii="楷体_GB2312" w:hAnsi="宋体" w:eastAsia="楷体_GB2312"/>
          <w:sz w:val="24"/>
          <w:szCs w:val="24"/>
        </w:rPr>
        <w:t>、《书名》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著者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出版社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版本号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小四 楷体_GB2312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段前空四个字位</w:t>
      </w:r>
    </w:p>
    <w:p>
      <w:pPr>
        <w:spacing w:line="440" w:lineRule="exact"/>
        <w:rPr>
          <w:rFonts w:ascii="楷体_GB2312" w:hAnsi="宋体" w:eastAsia="楷体_GB2312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楷体_GB2312" w:hAnsi="宋体" w:eastAsia="楷体_GB2312"/>
          <w:sz w:val="24"/>
          <w:szCs w:val="24"/>
        </w:rPr>
        <w:t>《书名》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著者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出版社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版本号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小四 楷体_GB2312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段前空四个字位</w:t>
      </w:r>
    </w:p>
    <w:p>
      <w:pPr>
        <w:spacing w:line="440" w:lineRule="exact"/>
        <w:rPr>
          <w:rFonts w:ascii="楷体_GB2312" w:hAnsi="宋体" w:eastAsia="楷体_GB2312"/>
          <w:sz w:val="24"/>
          <w:szCs w:val="24"/>
        </w:rPr>
      </w:pPr>
      <w:r>
        <w:rPr>
          <w:rFonts w:ascii="楷体_GB2312" w:hAnsi="宋体" w:eastAsia="楷体_GB2312"/>
          <w:sz w:val="24"/>
          <w:szCs w:val="24"/>
        </w:rPr>
        <w:t>3</w:t>
      </w:r>
      <w:r>
        <w:rPr>
          <w:rFonts w:hint="eastAsia" w:ascii="楷体_GB2312" w:hAnsi="宋体" w:eastAsia="楷体_GB2312"/>
          <w:sz w:val="24"/>
          <w:szCs w:val="24"/>
        </w:rPr>
        <w:t>、《书名》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著者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出版社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版本号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小四 楷体_GB2312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段前空四个字位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楷体_GB2312" w:hAnsi="宋体" w:eastAsia="楷体_GB2312"/>
          <w:sz w:val="24"/>
          <w:szCs w:val="24"/>
        </w:rPr>
        <w:t>4</w:t>
      </w:r>
      <w:r>
        <w:rPr>
          <w:rFonts w:hint="eastAsia" w:ascii="楷体_GB2312" w:hAnsi="宋体" w:eastAsia="楷体_GB2312"/>
          <w:sz w:val="24"/>
          <w:szCs w:val="24"/>
        </w:rPr>
        <w:t>、《书名》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著者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出版社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版本号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小四 楷体_GB2312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段前空四个字位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楷体_GB2312" w:hAnsi="宋体" w:eastAsia="楷体_GB2312"/>
          <w:sz w:val="24"/>
          <w:szCs w:val="24"/>
        </w:rPr>
        <w:t>5</w:t>
      </w:r>
      <w:r>
        <w:rPr>
          <w:rFonts w:hint="eastAsia" w:ascii="楷体_GB2312" w:hAnsi="宋体" w:eastAsia="楷体_GB2312"/>
          <w:sz w:val="24"/>
          <w:szCs w:val="24"/>
        </w:rPr>
        <w:t>、《书名》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著者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出版社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版本号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小四 楷体_GB2312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段前空四个字位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楷体_GB2312" w:hAnsi="宋体" w:eastAsia="楷体_GB2312"/>
          <w:sz w:val="24"/>
          <w:szCs w:val="24"/>
        </w:rPr>
        <w:t>6</w:t>
      </w:r>
      <w:r>
        <w:rPr>
          <w:rFonts w:hint="eastAsia" w:ascii="楷体_GB2312" w:hAnsi="宋体" w:eastAsia="楷体_GB2312"/>
          <w:sz w:val="24"/>
          <w:szCs w:val="24"/>
        </w:rPr>
        <w:t>、《书名》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著者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出版社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版本号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小四 楷体_GB2312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段前空四个字位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楷体_GB2312" w:hAnsi="宋体" w:eastAsia="楷体_GB2312"/>
          <w:sz w:val="24"/>
          <w:szCs w:val="24"/>
        </w:rPr>
        <w:t>7</w:t>
      </w:r>
      <w:r>
        <w:rPr>
          <w:rFonts w:hint="eastAsia" w:ascii="楷体_GB2312" w:hAnsi="宋体" w:eastAsia="楷体_GB2312"/>
          <w:sz w:val="24"/>
          <w:szCs w:val="24"/>
        </w:rPr>
        <w:t>、《书名》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著者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出版社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版本号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小四 楷体_GB2312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段前空四个字位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楷体_GB2312" w:hAnsi="宋体" w:eastAsia="楷体_GB2312"/>
          <w:sz w:val="24"/>
          <w:szCs w:val="24"/>
        </w:rPr>
        <w:t>8</w:t>
      </w:r>
      <w:r>
        <w:rPr>
          <w:rFonts w:hint="eastAsia" w:ascii="楷体_GB2312" w:hAnsi="宋体" w:eastAsia="楷体_GB2312"/>
          <w:sz w:val="24"/>
          <w:szCs w:val="24"/>
        </w:rPr>
        <w:t>、《书名》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著者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出版社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版本号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小四 楷体_GB2312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段前空四个字位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楷体_GB2312" w:hAnsi="宋体" w:eastAsia="楷体_GB2312"/>
          <w:sz w:val="24"/>
          <w:szCs w:val="24"/>
        </w:rPr>
        <w:t>9</w:t>
      </w:r>
      <w:r>
        <w:rPr>
          <w:rFonts w:hint="eastAsia" w:ascii="楷体_GB2312" w:hAnsi="宋体" w:eastAsia="楷体_GB2312"/>
          <w:sz w:val="24"/>
          <w:szCs w:val="24"/>
        </w:rPr>
        <w:t>、《书名》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著者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出版社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版本号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小四 楷体_GB2312</w:t>
      </w:r>
      <w:r>
        <w:rPr>
          <w:rFonts w:ascii="楷体_GB2312" w:hAnsi="宋体" w:eastAsia="楷体_GB2312"/>
          <w:sz w:val="24"/>
          <w:szCs w:val="24"/>
        </w:rPr>
        <w:t xml:space="preserve"> </w:t>
      </w:r>
      <w:r>
        <w:rPr>
          <w:rFonts w:hint="eastAsia" w:ascii="楷体_GB2312" w:hAnsi="宋体" w:eastAsia="楷体_GB2312"/>
          <w:sz w:val="24"/>
          <w:szCs w:val="24"/>
        </w:rPr>
        <w:t>段前空四个字位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Cs w:val="28"/>
        </w:rPr>
      </w:pPr>
    </w:p>
    <w:sectPr>
      <w:headerReference r:id="rId4" w:type="default"/>
      <w:footerReference r:id="rId5" w:type="default"/>
      <w:pgSz w:w="11906" w:h="16838"/>
      <w:pgMar w:top="1134" w:right="1416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2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作者基本情况介绍：学院</w:t>
      </w:r>
      <w:r>
        <w:t xml:space="preserve"> </w:t>
      </w:r>
      <w:r>
        <w:rPr>
          <w:rFonts w:hint="eastAsia"/>
        </w:rPr>
        <w:t>年级</w:t>
      </w:r>
      <w:r>
        <w:t xml:space="preserve"> </w:t>
      </w:r>
      <w:r>
        <w:rPr>
          <w:rFonts w:hint="eastAsia"/>
        </w:rPr>
        <w:t>班级</w:t>
      </w:r>
    </w:p>
  </w:footnote>
  <w:footnote w:id="1">
    <w:p>
      <w:pPr>
        <w:pStyle w:val="12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脚注直接用【插入】【引用】命令中的【尾注何脚注】命令插入，编号格式用</w:t>
      </w:r>
      <w:r>
        <w:rPr>
          <w:rStyle w:val="18"/>
        </w:rPr>
        <w:footnoteRef/>
      </w:r>
    </w:p>
  </w:footnote>
  <w:footnote w:id="2">
    <w:p>
      <w:pPr>
        <w:pStyle w:val="12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脚注直接用【插入】【引用】命令中的【尾注何脚注】命令插入，编号格式用</w:t>
      </w:r>
      <w:r>
        <w:rPr>
          <w:rStyle w:val="18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hanging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2D1"/>
    <w:multiLevelType w:val="multilevel"/>
    <w:tmpl w:val="13E562D1"/>
    <w:lvl w:ilvl="0" w:tentative="0">
      <w:start w:val="1"/>
      <w:numFmt w:val="decimal"/>
      <w:lvlText w:val="%1)"/>
      <w:lvlJc w:val="left"/>
      <w:pPr>
        <w:ind w:left="1271" w:hanging="420"/>
      </w:p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155938F6"/>
    <w:multiLevelType w:val="multilevel"/>
    <w:tmpl w:val="155938F6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abstractNum w:abstractNumId="2">
    <w:nsid w:val="202B4E4F"/>
    <w:multiLevelType w:val="multilevel"/>
    <w:tmpl w:val="202B4E4F"/>
    <w:lvl w:ilvl="0" w:tentative="0">
      <w:start w:val="1"/>
      <w:numFmt w:val="bullet"/>
      <w:lvlText w:val="●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20EA77D3"/>
    <w:multiLevelType w:val="multilevel"/>
    <w:tmpl w:val="20EA77D3"/>
    <w:lvl w:ilvl="0" w:tentative="0">
      <w:start w:val="1"/>
      <w:numFmt w:val="japaneseCounting"/>
      <w:pStyle w:val="28"/>
      <w:lvlText w:val="%1、"/>
      <w:lvlJc w:val="left"/>
      <w:pPr>
        <w:ind w:left="42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AC54A4"/>
    <w:multiLevelType w:val="multilevel"/>
    <w:tmpl w:val="26AC54A4"/>
    <w:lvl w:ilvl="0" w:tentative="0">
      <w:start w:val="1"/>
      <w:numFmt w:val="chineseCountingThousand"/>
      <w:lvlText w:val="(%1)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3C64152B"/>
    <w:multiLevelType w:val="multilevel"/>
    <w:tmpl w:val="3C64152B"/>
    <w:lvl w:ilvl="0" w:tentative="0">
      <w:start w:val="1"/>
      <w:numFmt w:val="japaneseCounting"/>
      <w:pStyle w:val="32"/>
      <w:lvlText w:val="%1、"/>
      <w:lvlJc w:val="left"/>
      <w:pPr>
        <w:ind w:left="42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D454D7"/>
    <w:multiLevelType w:val="multilevel"/>
    <w:tmpl w:val="3CD454D7"/>
    <w:lvl w:ilvl="0" w:tentative="0">
      <w:start w:val="1"/>
      <w:numFmt w:val="decimal"/>
      <w:lvlText w:val="%1)"/>
      <w:lvlJc w:val="left"/>
      <w:pPr>
        <w:ind w:left="1271" w:hanging="420"/>
      </w:p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5C26785E"/>
    <w:multiLevelType w:val="multilevel"/>
    <w:tmpl w:val="5C26785E"/>
    <w:lvl w:ilvl="0" w:tentative="0">
      <w:start w:val="1"/>
      <w:numFmt w:val="decimal"/>
      <w:lvlText w:val="%1."/>
      <w:lvlJc w:val="left"/>
      <w:pPr>
        <w:ind w:left="988" w:hanging="420"/>
      </w:p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8">
    <w:nsid w:val="61F70A61"/>
    <w:multiLevelType w:val="multilevel"/>
    <w:tmpl w:val="61F70A61"/>
    <w:lvl w:ilvl="0" w:tentative="0">
      <w:start w:val="1"/>
      <w:numFmt w:val="decimal"/>
      <w:lvlText w:val="%1)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9">
    <w:nsid w:val="68597790"/>
    <w:multiLevelType w:val="multilevel"/>
    <w:tmpl w:val="68597790"/>
    <w:lvl w:ilvl="0" w:tentative="0">
      <w:start w:val="1"/>
      <w:numFmt w:val="chineseCountingThousand"/>
      <w:lvlText w:val="(%1)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72422446"/>
    <w:multiLevelType w:val="multilevel"/>
    <w:tmpl w:val="72422446"/>
    <w:lvl w:ilvl="0" w:tentative="0">
      <w:start w:val="1"/>
      <w:numFmt w:val="decimal"/>
      <w:lvlText w:val="%1."/>
      <w:lvlJc w:val="left"/>
      <w:pPr>
        <w:ind w:left="988" w:hanging="420"/>
      </w:p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15"/>
    <w:rsid w:val="00003D6D"/>
    <w:rsid w:val="00037CA6"/>
    <w:rsid w:val="00056CEC"/>
    <w:rsid w:val="00066A75"/>
    <w:rsid w:val="000F0940"/>
    <w:rsid w:val="000F6969"/>
    <w:rsid w:val="00112CC7"/>
    <w:rsid w:val="0013390A"/>
    <w:rsid w:val="001B3C2B"/>
    <w:rsid w:val="001F1153"/>
    <w:rsid w:val="00252C2B"/>
    <w:rsid w:val="00254199"/>
    <w:rsid w:val="002921E5"/>
    <w:rsid w:val="00292582"/>
    <w:rsid w:val="002A1EE2"/>
    <w:rsid w:val="002A3319"/>
    <w:rsid w:val="002B1109"/>
    <w:rsid w:val="002E446A"/>
    <w:rsid w:val="002F4E78"/>
    <w:rsid w:val="00351E9D"/>
    <w:rsid w:val="00352AA9"/>
    <w:rsid w:val="003576CB"/>
    <w:rsid w:val="003F51C9"/>
    <w:rsid w:val="00402C3D"/>
    <w:rsid w:val="00403374"/>
    <w:rsid w:val="00410661"/>
    <w:rsid w:val="004B5C66"/>
    <w:rsid w:val="004C6850"/>
    <w:rsid w:val="005069B2"/>
    <w:rsid w:val="00587DFF"/>
    <w:rsid w:val="005D49BA"/>
    <w:rsid w:val="005F6E49"/>
    <w:rsid w:val="00603934"/>
    <w:rsid w:val="00666EBD"/>
    <w:rsid w:val="006B6C00"/>
    <w:rsid w:val="006E2CF1"/>
    <w:rsid w:val="00767C26"/>
    <w:rsid w:val="00771D3C"/>
    <w:rsid w:val="007C5EF6"/>
    <w:rsid w:val="007E69DF"/>
    <w:rsid w:val="00846E6D"/>
    <w:rsid w:val="008533AC"/>
    <w:rsid w:val="008546DA"/>
    <w:rsid w:val="00865047"/>
    <w:rsid w:val="008B5AAF"/>
    <w:rsid w:val="008D2341"/>
    <w:rsid w:val="00915B68"/>
    <w:rsid w:val="00924CFB"/>
    <w:rsid w:val="009460EC"/>
    <w:rsid w:val="009A0CB3"/>
    <w:rsid w:val="009A7E17"/>
    <w:rsid w:val="009B5DAC"/>
    <w:rsid w:val="009E5430"/>
    <w:rsid w:val="009F635A"/>
    <w:rsid w:val="00A6551B"/>
    <w:rsid w:val="00A67D15"/>
    <w:rsid w:val="00A82BEF"/>
    <w:rsid w:val="00AE49CA"/>
    <w:rsid w:val="00B1394D"/>
    <w:rsid w:val="00B316C6"/>
    <w:rsid w:val="00BB3F2F"/>
    <w:rsid w:val="00BB690B"/>
    <w:rsid w:val="00BC4335"/>
    <w:rsid w:val="00BD1A4D"/>
    <w:rsid w:val="00C420A9"/>
    <w:rsid w:val="00C57A26"/>
    <w:rsid w:val="00CB260A"/>
    <w:rsid w:val="00CD00A3"/>
    <w:rsid w:val="00CE3EBE"/>
    <w:rsid w:val="00D250CF"/>
    <w:rsid w:val="00D301A9"/>
    <w:rsid w:val="00D32C84"/>
    <w:rsid w:val="00D332C2"/>
    <w:rsid w:val="00D332CB"/>
    <w:rsid w:val="00D57D44"/>
    <w:rsid w:val="00D77A2C"/>
    <w:rsid w:val="00D80CD4"/>
    <w:rsid w:val="00D96C75"/>
    <w:rsid w:val="00DB4110"/>
    <w:rsid w:val="00DF66A6"/>
    <w:rsid w:val="00E2142B"/>
    <w:rsid w:val="00E44408"/>
    <w:rsid w:val="00E62741"/>
    <w:rsid w:val="00EE1579"/>
    <w:rsid w:val="00FC35EA"/>
    <w:rsid w:val="00FC5F8E"/>
    <w:rsid w:val="10F00E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unhideWhenUsed/>
    <w:uiPriority w:val="1"/>
  </w:style>
  <w:style w:type="table" w:default="1" w:styleId="1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38"/>
    <w:uiPriority w:val="0"/>
    <w:pPr>
      <w:spacing w:line="360" w:lineRule="auto"/>
      <w:ind w:firstLine="435"/>
    </w:pPr>
    <w:rPr>
      <w:rFonts w:ascii="Times New Roman" w:hAnsi="Times New Roman" w:eastAsia="宋体" w:cs="Times New Roman"/>
      <w:szCs w:val="20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Plain Text"/>
    <w:basedOn w:val="1"/>
    <w:link w:val="37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Body Text Indent 2"/>
    <w:basedOn w:val="1"/>
    <w:link w:val="39"/>
    <w:qFormat/>
    <w:uiPriority w:val="0"/>
    <w:pPr>
      <w:widowControl/>
      <w:ind w:left="1280"/>
      <w:jc w:val="left"/>
    </w:pPr>
    <w:rPr>
      <w:rFonts w:ascii="宋体" w:hAnsi="Times New Roman" w:eastAsia="宋体" w:cs="Times New Roman"/>
      <w:kern w:val="0"/>
      <w:szCs w:val="20"/>
    </w:rPr>
  </w:style>
  <w:style w:type="paragraph" w:styleId="7">
    <w:name w:val="Balloon Text"/>
    <w:basedOn w:val="1"/>
    <w:link w:val="23"/>
    <w:unhideWhenUsed/>
    <w:uiPriority w:val="0"/>
    <w:rPr>
      <w:sz w:val="18"/>
      <w:szCs w:val="18"/>
    </w:rPr>
  </w:style>
  <w:style w:type="paragraph" w:styleId="8">
    <w:name w:val="footer"/>
    <w:basedOn w:val="1"/>
    <w:link w:val="2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rPr>
      <w:rFonts w:ascii="Times New Roman" w:hAnsi="Times New Roman" w:eastAsia="宋体" w:cs="Times New Roman"/>
      <w:szCs w:val="24"/>
    </w:rPr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2">
    <w:name w:val="footnote text"/>
    <w:basedOn w:val="1"/>
    <w:link w:val="40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4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6">
    <w:name w:val="page number"/>
    <w:basedOn w:val="15"/>
    <w:uiPriority w:val="0"/>
  </w:style>
  <w:style w:type="character" w:styleId="17">
    <w:name w:val="Hyperlink"/>
    <w:uiPriority w:val="99"/>
    <w:rPr>
      <w:color w:val="0000FF"/>
      <w:u w:val="single"/>
    </w:rPr>
  </w:style>
  <w:style w:type="character" w:styleId="18">
    <w:name w:val="footnote reference"/>
    <w:basedOn w:val="15"/>
    <w:semiHidden/>
    <w:uiPriority w:val="0"/>
    <w:rPr>
      <w:rFonts w:cs="Times New Roman"/>
      <w:vertAlign w:val="superscript"/>
    </w:rPr>
  </w:style>
  <w:style w:type="table" w:styleId="20">
    <w:name w:val="Table Grid"/>
    <w:basedOn w:val="1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5"/>
    <w:link w:val="9"/>
    <w:uiPriority w:val="0"/>
    <w:rPr>
      <w:sz w:val="18"/>
      <w:szCs w:val="18"/>
    </w:rPr>
  </w:style>
  <w:style w:type="character" w:customStyle="1" w:styleId="22">
    <w:name w:val="页脚 Char"/>
    <w:basedOn w:val="15"/>
    <w:link w:val="8"/>
    <w:uiPriority w:val="0"/>
    <w:rPr>
      <w:sz w:val="18"/>
      <w:szCs w:val="18"/>
    </w:rPr>
  </w:style>
  <w:style w:type="character" w:customStyle="1" w:styleId="23">
    <w:name w:val="批注框文本 Char"/>
    <w:basedOn w:val="15"/>
    <w:link w:val="7"/>
    <w:uiPriority w:val="0"/>
    <w:rPr>
      <w:sz w:val="18"/>
      <w:szCs w:val="18"/>
    </w:rPr>
  </w:style>
  <w:style w:type="character" w:customStyle="1" w:styleId="24">
    <w:name w:val="标题 1 Char"/>
    <w:basedOn w:val="1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  <w:rPr>
      <w:rFonts w:ascii="Constantia" w:hAnsi="Constantia" w:eastAsia="宋体" w:cs="Times New Roman"/>
    </w:rPr>
  </w:style>
  <w:style w:type="character" w:customStyle="1" w:styleId="26">
    <w:name w:val="副标题 Char"/>
    <w:basedOn w:val="15"/>
    <w:link w:val="11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7">
    <w:name w:val="标题 Char"/>
    <w:basedOn w:val="15"/>
    <w:link w:val="14"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8">
    <w:name w:val="样式2"/>
    <w:basedOn w:val="1"/>
    <w:link w:val="29"/>
    <w:qFormat/>
    <w:uiPriority w:val="0"/>
    <w:pPr>
      <w:numPr>
        <w:ilvl w:val="0"/>
        <w:numId w:val="1"/>
      </w:numPr>
      <w:spacing w:before="156" w:line="420" w:lineRule="exact"/>
    </w:pPr>
    <w:rPr>
      <w:rFonts w:ascii="仿宋_GB2312" w:hAnsi="仿宋_GB2312" w:eastAsia="仿宋_GB2312" w:cs="Times New Roman"/>
      <w:b/>
      <w:sz w:val="28"/>
      <w:szCs w:val="28"/>
    </w:rPr>
  </w:style>
  <w:style w:type="character" w:customStyle="1" w:styleId="29">
    <w:name w:val="样式2 Char"/>
    <w:basedOn w:val="15"/>
    <w:link w:val="28"/>
    <w:qFormat/>
    <w:uiPriority w:val="0"/>
    <w:rPr>
      <w:rFonts w:ascii="仿宋_GB2312" w:hAnsi="仿宋_GB2312" w:eastAsia="仿宋_GB2312" w:cs="Times New Roman"/>
      <w:b/>
      <w:sz w:val="28"/>
      <w:szCs w:val="28"/>
    </w:rPr>
  </w:style>
  <w:style w:type="paragraph" w:customStyle="1" w:styleId="30">
    <w:name w:val="No Spacing"/>
    <w:link w:val="34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32">
    <w:name w:val="样式1"/>
    <w:basedOn w:val="11"/>
    <w:link w:val="33"/>
    <w:qFormat/>
    <w:uiPriority w:val="0"/>
    <w:pPr>
      <w:numPr>
        <w:ilvl w:val="0"/>
        <w:numId w:val="2"/>
      </w:numPr>
      <w:jc w:val="left"/>
    </w:pPr>
    <w:rPr>
      <w:rFonts w:ascii="华文中宋" w:hAnsi="华文中宋" w:eastAsia="华文中宋"/>
      <w:sz w:val="28"/>
      <w:szCs w:val="28"/>
    </w:rPr>
  </w:style>
  <w:style w:type="character" w:customStyle="1" w:styleId="33">
    <w:name w:val="样式1 Char"/>
    <w:basedOn w:val="26"/>
    <w:link w:val="32"/>
    <w:uiPriority w:val="0"/>
    <w:rPr>
      <w:rFonts w:ascii="华文中宋" w:hAnsi="华文中宋" w:eastAsia="华文中宋" w:cs="Times New Roman"/>
      <w:kern w:val="28"/>
      <w:sz w:val="28"/>
      <w:szCs w:val="28"/>
    </w:rPr>
  </w:style>
  <w:style w:type="character" w:customStyle="1" w:styleId="34">
    <w:name w:val="无间隔 Char"/>
    <w:basedOn w:val="15"/>
    <w:link w:val="30"/>
    <w:qFormat/>
    <w:uiPriority w:val="1"/>
    <w:rPr>
      <w:rFonts w:ascii="Times New Roman" w:hAnsi="Times New Roman" w:eastAsia="宋体" w:cs="Times New Roman"/>
      <w:szCs w:val="24"/>
    </w:rPr>
  </w:style>
  <w:style w:type="paragraph" w:customStyle="1" w:styleId="3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36">
    <w:name w:val="p16"/>
    <w:basedOn w:val="1"/>
    <w:qFormat/>
    <w:uiPriority w:val="0"/>
    <w:pPr>
      <w:widowControl/>
      <w:ind w:firstLine="420"/>
    </w:pPr>
    <w:rPr>
      <w:rFonts w:ascii="Calibri" w:hAnsi="Calibri" w:eastAsia="宋体" w:cs="Times New Roman"/>
      <w:kern w:val="0"/>
      <w:szCs w:val="20"/>
    </w:rPr>
  </w:style>
  <w:style w:type="character" w:customStyle="1" w:styleId="37">
    <w:name w:val="纯文本 Char"/>
    <w:basedOn w:val="15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38">
    <w:name w:val="正文文本缩进 Char"/>
    <w:basedOn w:val="15"/>
    <w:link w:val="3"/>
    <w:uiPriority w:val="0"/>
    <w:rPr>
      <w:rFonts w:ascii="Times New Roman" w:hAnsi="Times New Roman" w:eastAsia="宋体" w:cs="Times New Roman"/>
      <w:szCs w:val="20"/>
    </w:rPr>
  </w:style>
  <w:style w:type="character" w:customStyle="1" w:styleId="39">
    <w:name w:val="正文文本缩进 2 Char"/>
    <w:basedOn w:val="15"/>
    <w:link w:val="6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40">
    <w:name w:val="脚注文本 Char"/>
    <w:basedOn w:val="15"/>
    <w:link w:val="1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F19D25-744D-4D7B-9B89-A3E2ADC9F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scut</Company>
  <Pages>6</Pages>
  <Words>754</Words>
  <Characters>4304</Characters>
  <Lines>35</Lines>
  <Paragraphs>10</Paragraphs>
  <ScaleCrop>false</ScaleCrop>
  <LinksUpToDate>false</LinksUpToDate>
  <CharactersWithSpaces>5048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2013-01-04T10:35:00Z</dcterms:created>
  <dc:creator>DADI</dc:creator>
  <cp:lastModifiedBy>Administrator</cp:lastModifiedBy>
  <dcterms:modified xsi:type="dcterms:W3CDTF">2016-11-29T12:11:17Z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