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8B8FFE">
      <w:pPr>
        <w:pStyle w:val="8"/>
        <w:ind w:firstLine="803"/>
        <w:rPr>
          <w:rFonts w:ascii="宋体" w:hAnsi="宋体" w:eastAsia="宋体" w:cs="Times New Roman"/>
          <w:sz w:val="40"/>
          <w:szCs w:val="40"/>
        </w:rPr>
      </w:pPr>
      <w:r>
        <w:rPr>
          <w:rFonts w:hint="eastAsia" w:ascii="宋体" w:hAnsi="宋体" w:eastAsia="宋体" w:cs="Times New Roman"/>
          <w:sz w:val="40"/>
          <w:szCs w:val="40"/>
        </w:rPr>
        <w:t>树木迁移技术规范</w:t>
      </w:r>
    </w:p>
    <w:p w14:paraId="6F53D10B">
      <w:pPr>
        <w:pStyle w:val="4"/>
        <w:spacing w:before="120"/>
        <w:ind w:firstLine="0" w:firstLineChars="0"/>
      </w:pPr>
      <w:r>
        <w:t>1</w:t>
      </w:r>
      <w:r>
        <w:rPr>
          <w:rFonts w:ascii="宋体" w:hAnsi="宋体"/>
        </w:rPr>
        <w:t>迁移地评估与清理</w:t>
      </w:r>
    </w:p>
    <w:p w14:paraId="06DD8609">
      <w:pPr>
        <w:ind w:firstLine="482"/>
        <w:rPr>
          <w:b/>
          <w:bCs/>
        </w:rPr>
      </w:pPr>
      <w:r>
        <w:rPr>
          <w:rFonts w:ascii="宋体" w:hAnsi="宋体"/>
          <w:b/>
          <w:bCs/>
        </w:rPr>
        <w:t>（</w:t>
      </w:r>
      <w:r>
        <w:rPr>
          <w:b/>
          <w:bCs/>
        </w:rPr>
        <w:t>1</w:t>
      </w:r>
      <w:r>
        <w:rPr>
          <w:rFonts w:ascii="宋体" w:hAnsi="宋体"/>
          <w:b/>
          <w:bCs/>
        </w:rPr>
        <w:t xml:space="preserve">）迁移地的准备 </w:t>
      </w:r>
    </w:p>
    <w:p w14:paraId="03E08B77">
      <w:pPr>
        <w:ind w:firstLine="480"/>
      </w:pPr>
      <w:r>
        <w:rPr>
          <w:rFonts w:ascii="宋体" w:hAnsi="宋体"/>
        </w:rPr>
        <w:t>提前对该地区的土壤理化性质进行化验分析，采取相应的土壤改良、施肥等措施，迁移地土壤有效土层厚度应符合表</w:t>
      </w:r>
      <w:r>
        <w:t xml:space="preserve">4.5-1 </w:t>
      </w:r>
      <w:r>
        <w:rPr>
          <w:rFonts w:ascii="宋体" w:hAnsi="宋体"/>
        </w:rPr>
        <w:t>规定。</w:t>
      </w:r>
      <w:r>
        <w:t xml:space="preserve"> </w:t>
      </w:r>
    </w:p>
    <w:p w14:paraId="5FB2504F">
      <w:pPr>
        <w:ind w:firstLine="0" w:firstLineChars="0"/>
        <w:jc w:val="center"/>
      </w:pPr>
      <w:r>
        <w:rPr>
          <w:rFonts w:ascii="宋体" w:hAnsi="宋体"/>
        </w:rPr>
        <w:t>表</w:t>
      </w:r>
      <w:r>
        <w:t xml:space="preserve"> 4.5-1 </w:t>
      </w:r>
      <w:r>
        <w:rPr>
          <w:rFonts w:ascii="宋体" w:hAnsi="宋体"/>
        </w:rPr>
        <w:t>迁移地土层有效厚度</w:t>
      </w:r>
    </w:p>
    <w:tbl>
      <w:tblPr>
        <w:tblStyle w:val="9"/>
        <w:tblW w:w="7298" w:type="dxa"/>
        <w:jc w:val="center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58"/>
        <w:gridCol w:w="2319"/>
        <w:gridCol w:w="2012"/>
        <w:gridCol w:w="1509"/>
      </w:tblGrid>
      <w:tr w14:paraId="3E1751DB"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 w:hRule="atLeast"/>
          <w:jc w:val="center"/>
        </w:trPr>
        <w:tc>
          <w:tcPr>
            <w:tcW w:w="14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1D4D7BE6">
            <w:pPr>
              <w:ind w:firstLine="0" w:firstLineChars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树木类别</w:t>
            </w:r>
          </w:p>
        </w:tc>
        <w:tc>
          <w:tcPr>
            <w:tcW w:w="231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3C5569EB">
            <w:pPr>
              <w:ind w:firstLine="0" w:firstLineChars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树木胸径</w:t>
            </w:r>
          </w:p>
        </w:tc>
        <w:tc>
          <w:tcPr>
            <w:tcW w:w="2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7E957E36">
            <w:pPr>
              <w:ind w:firstLine="0" w:firstLineChars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土层厚度（</w:t>
            </w:r>
            <w:r>
              <w:rPr>
                <w:color w:val="000000"/>
                <w:sz w:val="20"/>
                <w:szCs w:val="20"/>
              </w:rPr>
              <w:t>cm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150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5E96D991">
            <w:pPr>
              <w:pStyle w:val="17"/>
              <w:autoSpaceDE w:val="0"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color w:val="000000"/>
                <w:sz w:val="20"/>
                <w:szCs w:val="20"/>
              </w:rPr>
              <w:t>检验方法</w:t>
            </w:r>
          </w:p>
        </w:tc>
      </w:tr>
      <w:tr w14:paraId="042C71BE"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4" w:hRule="atLeast"/>
          <w:jc w:val="center"/>
        </w:trPr>
        <w:tc>
          <w:tcPr>
            <w:tcW w:w="1458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79412E4E">
            <w:pPr>
              <w:ind w:firstLine="0" w:firstLineChars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常绿乔木</w:t>
            </w:r>
          </w:p>
        </w:tc>
        <w:tc>
          <w:tcPr>
            <w:tcW w:w="231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780C6AB2">
            <w:pPr>
              <w:ind w:firstLine="0" w:firstLineChars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DBH&lt;20cm</w:t>
            </w:r>
          </w:p>
        </w:tc>
        <w:tc>
          <w:tcPr>
            <w:tcW w:w="2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00A7F65B">
            <w:pPr>
              <w:ind w:firstLine="0" w:firstLineChars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≥ 100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（浅根）</w:t>
            </w:r>
          </w:p>
          <w:p w14:paraId="530E25CA">
            <w:pPr>
              <w:ind w:firstLine="0" w:firstLineChars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≥ 150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（深根）</w:t>
            </w:r>
          </w:p>
        </w:tc>
        <w:tc>
          <w:tcPr>
            <w:tcW w:w="1509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131117D9">
            <w:pPr>
              <w:ind w:firstLine="0" w:firstLineChars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挖样洞，观察或尺量检查</w:t>
            </w:r>
          </w:p>
        </w:tc>
      </w:tr>
      <w:tr w14:paraId="32E1E5A5"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 w:hRule="atLeast"/>
          <w:jc w:val="center"/>
        </w:trPr>
        <w:tc>
          <w:tcPr>
            <w:tcW w:w="145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53BBA48">
            <w:pPr>
              <w:widowControl/>
              <w:spacing w:line="240" w:lineRule="auto"/>
              <w:ind w:firstLine="0" w:firstLineChars="0"/>
              <w:rPr>
                <w:color w:val="000000"/>
                <w:sz w:val="20"/>
                <w:szCs w:val="20"/>
              </w:rPr>
            </w:pPr>
          </w:p>
        </w:tc>
        <w:tc>
          <w:tcPr>
            <w:tcW w:w="231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6A640916">
            <w:pPr>
              <w:ind w:firstLine="0" w:firstLineChars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20cm≤DBH&lt;50cm</w:t>
            </w:r>
          </w:p>
        </w:tc>
        <w:tc>
          <w:tcPr>
            <w:tcW w:w="2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12316529">
            <w:pPr>
              <w:ind w:firstLine="0" w:firstLineChars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≥ 180</w:t>
            </w:r>
          </w:p>
        </w:tc>
        <w:tc>
          <w:tcPr>
            <w:tcW w:w="1509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33E75995">
            <w:pPr>
              <w:widowControl/>
              <w:spacing w:line="240" w:lineRule="auto"/>
              <w:ind w:firstLine="0" w:firstLineChars="0"/>
              <w:rPr>
                <w:color w:val="000000"/>
                <w:sz w:val="20"/>
                <w:szCs w:val="20"/>
              </w:rPr>
            </w:pPr>
          </w:p>
        </w:tc>
      </w:tr>
      <w:tr w14:paraId="2D8A1C56"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  <w:jc w:val="center"/>
        </w:trPr>
        <w:tc>
          <w:tcPr>
            <w:tcW w:w="145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92E74F1">
            <w:pPr>
              <w:widowControl/>
              <w:spacing w:line="240" w:lineRule="auto"/>
              <w:ind w:firstLine="0" w:firstLineChars="0"/>
              <w:rPr>
                <w:color w:val="000000"/>
                <w:sz w:val="20"/>
                <w:szCs w:val="20"/>
              </w:rPr>
            </w:pPr>
          </w:p>
        </w:tc>
        <w:tc>
          <w:tcPr>
            <w:tcW w:w="231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34A0BE9F">
            <w:pPr>
              <w:ind w:firstLine="0" w:firstLineChars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50cm≤DBH&lt;80cm</w:t>
            </w:r>
          </w:p>
        </w:tc>
        <w:tc>
          <w:tcPr>
            <w:tcW w:w="2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58068EEC">
            <w:pPr>
              <w:ind w:firstLine="0" w:firstLineChars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≥ 200</w:t>
            </w:r>
          </w:p>
        </w:tc>
        <w:tc>
          <w:tcPr>
            <w:tcW w:w="1509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764567E8">
            <w:pPr>
              <w:widowControl/>
              <w:spacing w:line="240" w:lineRule="auto"/>
              <w:ind w:firstLine="0" w:firstLineChars="0"/>
              <w:rPr>
                <w:color w:val="000000"/>
                <w:sz w:val="20"/>
                <w:szCs w:val="20"/>
              </w:rPr>
            </w:pPr>
          </w:p>
        </w:tc>
      </w:tr>
    </w:tbl>
    <w:p w14:paraId="158D9DFC">
      <w:pPr>
        <w:ind w:firstLine="482"/>
        <w:rPr>
          <w:b/>
          <w:bCs/>
        </w:rPr>
      </w:pPr>
      <w:r>
        <w:rPr>
          <w:rFonts w:ascii="宋体" w:hAnsi="宋体"/>
          <w:b/>
          <w:bCs/>
        </w:rPr>
        <w:t>（</w:t>
      </w:r>
      <w:r>
        <w:rPr>
          <w:b/>
          <w:bCs/>
        </w:rPr>
        <w:t>2</w:t>
      </w:r>
      <w:r>
        <w:rPr>
          <w:rFonts w:ascii="宋体" w:hAnsi="宋体"/>
          <w:b/>
          <w:bCs/>
        </w:rPr>
        <w:t>）迁移地的土壤理化性质要求</w:t>
      </w:r>
      <w:r>
        <w:rPr>
          <w:b/>
          <w:bCs/>
        </w:rPr>
        <w:t xml:space="preserve"> </w:t>
      </w:r>
    </w:p>
    <w:p w14:paraId="13776BC6">
      <w:pPr>
        <w:ind w:firstLine="480"/>
      </w:pPr>
      <w:r>
        <w:rPr>
          <w:rFonts w:ascii="宋体" w:hAnsi="宋体"/>
        </w:rPr>
        <w:t>应对迁移地的土壤理化性质进行检测，做到迁移树木适地适树，保证树木成活率。迁移地严禁使用含有害成分的土壤，迁移地土壤有效土层下不得有不适水层。</w:t>
      </w:r>
      <w:r>
        <w:t xml:space="preserve"> </w:t>
      </w:r>
    </w:p>
    <w:p w14:paraId="60CA0079">
      <w:pPr>
        <w:ind w:firstLine="482"/>
        <w:rPr>
          <w:b/>
          <w:bCs/>
        </w:rPr>
      </w:pPr>
      <w:r>
        <w:rPr>
          <w:rFonts w:ascii="宋体" w:hAnsi="宋体"/>
          <w:b/>
          <w:bCs/>
        </w:rPr>
        <w:t>（</w:t>
      </w:r>
      <w:r>
        <w:rPr>
          <w:b/>
          <w:bCs/>
        </w:rPr>
        <w:t>3</w:t>
      </w:r>
      <w:r>
        <w:rPr>
          <w:rFonts w:ascii="宋体" w:hAnsi="宋体"/>
          <w:b/>
          <w:bCs/>
        </w:rPr>
        <w:t xml:space="preserve">）迁移地栽植前场地清理 </w:t>
      </w:r>
    </w:p>
    <w:p w14:paraId="73980D88">
      <w:pPr>
        <w:ind w:firstLine="480"/>
      </w:pPr>
      <w:r>
        <w:rPr>
          <w:rFonts w:ascii="宋体" w:hAnsi="宋体"/>
        </w:rPr>
        <w:t>应将现场内的渣土、工程废料、宿根性杂草、树根及其有害污染物清除干净。对清理的废弃构筑物、工程渣土、不符合栽植土理化标准的原状土等应做好测量记录、签认。</w:t>
      </w:r>
    </w:p>
    <w:p w14:paraId="6B2B2E63">
      <w:pPr>
        <w:pStyle w:val="4"/>
        <w:spacing w:before="120"/>
        <w:ind w:firstLine="0" w:firstLineChars="0"/>
      </w:pPr>
      <w:r>
        <w:t>2</w:t>
      </w:r>
      <w:r>
        <w:rPr>
          <w:rFonts w:ascii="宋体" w:hAnsi="宋体"/>
        </w:rPr>
        <w:t>迁移准备</w:t>
      </w:r>
      <w:r>
        <w:t xml:space="preserve"> </w:t>
      </w:r>
    </w:p>
    <w:p w14:paraId="142F4778">
      <w:pPr>
        <w:ind w:firstLine="482"/>
        <w:rPr>
          <w:b/>
          <w:bCs/>
        </w:rPr>
      </w:pPr>
      <w:r>
        <w:rPr>
          <w:rFonts w:ascii="宋体" w:hAnsi="宋体"/>
          <w:b/>
          <w:bCs/>
        </w:rPr>
        <w:t>（</w:t>
      </w:r>
      <w:r>
        <w:rPr>
          <w:b/>
          <w:bCs/>
        </w:rPr>
        <w:t>1</w:t>
      </w:r>
      <w:r>
        <w:rPr>
          <w:rFonts w:ascii="宋体" w:hAnsi="宋体"/>
          <w:b/>
          <w:bCs/>
        </w:rPr>
        <w:t xml:space="preserve">）编号 </w:t>
      </w:r>
    </w:p>
    <w:p w14:paraId="2B687A8B">
      <w:pPr>
        <w:ind w:firstLine="480"/>
      </w:pPr>
      <w:r>
        <w:rPr>
          <w:rFonts w:ascii="宋体" w:hAnsi="宋体"/>
        </w:rPr>
        <w:t>开始迁移前，可把乔木按设计统一编号，并作好标记，以便后续装运及移植时对号入座，减少现场混乱及事故。并对每一株树建立档案，档案持续记录每株树木的后续养护措施等。</w:t>
      </w:r>
      <w:r>
        <w:t xml:space="preserve"> </w:t>
      </w:r>
    </w:p>
    <w:p w14:paraId="49806C66">
      <w:pPr>
        <w:ind w:firstLine="482"/>
        <w:rPr>
          <w:b/>
          <w:bCs/>
        </w:rPr>
      </w:pPr>
      <w:r>
        <w:rPr>
          <w:rFonts w:ascii="宋体" w:hAnsi="宋体"/>
          <w:b/>
          <w:bCs/>
        </w:rPr>
        <w:t>（</w:t>
      </w:r>
      <w:r>
        <w:rPr>
          <w:b/>
          <w:bCs/>
        </w:rPr>
        <w:t>2</w:t>
      </w:r>
      <w:r>
        <w:rPr>
          <w:rFonts w:ascii="宋体" w:hAnsi="宋体"/>
          <w:b/>
          <w:bCs/>
        </w:rPr>
        <w:t>）修剪</w:t>
      </w:r>
      <w:r>
        <w:rPr>
          <w:b/>
          <w:bCs/>
        </w:rPr>
        <w:t xml:space="preserve"> </w:t>
      </w:r>
    </w:p>
    <w:p w14:paraId="28175EB5">
      <w:pPr>
        <w:ind w:firstLine="480"/>
      </w:pPr>
      <w:r>
        <w:rPr>
          <w:rFonts w:ascii="宋体" w:hAnsi="宋体"/>
        </w:rPr>
        <w:t>树冠修剪量不宜超过原树冠的</w:t>
      </w:r>
      <w:r>
        <w:t>15%</w:t>
      </w:r>
      <w:r>
        <w:rPr>
          <w:rFonts w:ascii="宋体" w:hAnsi="宋体"/>
        </w:rPr>
        <w:t>；树高不能有任何降低，冠幅修窄不宜超过</w:t>
      </w:r>
      <w:r>
        <w:t xml:space="preserve"> 15%</w:t>
      </w:r>
      <w:r>
        <w:rPr>
          <w:rFonts w:ascii="宋体" w:hAnsi="宋体"/>
        </w:rPr>
        <w:t>，修剪只能疏枝，不能短截，应保持树木原有树形、保证树木的景观效果。</w:t>
      </w:r>
    </w:p>
    <w:p w14:paraId="03612220">
      <w:pPr>
        <w:ind w:firstLine="482"/>
        <w:rPr>
          <w:b/>
          <w:bCs/>
        </w:rPr>
      </w:pPr>
      <w:r>
        <w:rPr>
          <w:rFonts w:ascii="宋体" w:hAnsi="宋体"/>
          <w:b/>
          <w:bCs/>
        </w:rPr>
        <w:t>（</w:t>
      </w:r>
      <w:r>
        <w:rPr>
          <w:b/>
          <w:bCs/>
        </w:rPr>
        <w:t>3</w:t>
      </w:r>
      <w:r>
        <w:rPr>
          <w:rFonts w:ascii="宋体" w:hAnsi="宋体"/>
          <w:b/>
          <w:bCs/>
        </w:rPr>
        <w:t>）拢冠及支撑</w:t>
      </w:r>
      <w:r>
        <w:rPr>
          <w:b/>
          <w:bCs/>
        </w:rPr>
        <w:t xml:space="preserve"> </w:t>
      </w:r>
    </w:p>
    <w:p w14:paraId="5E3B31B0">
      <w:pPr>
        <w:ind w:firstLine="480"/>
      </w:pPr>
      <w:r>
        <w:rPr>
          <w:rFonts w:ascii="宋体" w:hAnsi="宋体"/>
        </w:rPr>
        <w:t>根据树木原生长地位置和观赏面，对树木作好南北方向定位编号。收扎树冠时应由上至下，由内至外，依次向内收紧，大枝扎缚处要垫橡皮等软物，不应挫伤树木。树干、主枝用草绳或草片进行包扎保护。在土球挖掘前，采用三角支撑或浪风绳牵引（或两者并用）的方式做好树木支撑，确保土球挖掘时，树木不倾倒。支柱底部应牢固支持在地面，与地面呈</w:t>
      </w:r>
      <w:r>
        <w:t>60</w:t>
      </w:r>
      <w:r>
        <w:rPr>
          <w:rFonts w:ascii="宋体" w:hAnsi="宋体"/>
        </w:rPr>
        <w:t>度角；且底部应立在挖掘范围以外，以免妨碍挖掘工作。</w:t>
      </w:r>
      <w:r>
        <w:t xml:space="preserve">  </w:t>
      </w:r>
    </w:p>
    <w:p w14:paraId="2A924733">
      <w:pPr>
        <w:ind w:firstLine="480"/>
      </w:pPr>
      <w:r>
        <w:t xml:space="preserve">    </w:t>
      </w:r>
      <w:r>
        <w:drawing>
          <wp:inline distT="0" distB="0" distL="0" distR="0">
            <wp:extent cx="5274310" cy="1927860"/>
            <wp:effectExtent l="0" t="0" r="2540" b="0"/>
            <wp:docPr id="7938736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87361" name="图片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C82FC">
      <w:pPr>
        <w:ind w:firstLine="480"/>
      </w:pPr>
      <w:r>
        <w:t xml:space="preserve"> </w:t>
      </w:r>
      <w:r>
        <w:drawing>
          <wp:inline distT="0" distB="0" distL="0" distR="0">
            <wp:extent cx="5274310" cy="1986915"/>
            <wp:effectExtent l="0" t="0" r="2540" b="0"/>
            <wp:docPr id="20422944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294412" name="图片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D8145">
      <w:pPr>
        <w:ind w:firstLine="480"/>
        <w:jc w:val="center"/>
      </w:pPr>
      <w:r>
        <w:drawing>
          <wp:inline distT="0" distB="0" distL="0" distR="0">
            <wp:extent cx="2715895" cy="2057400"/>
            <wp:effectExtent l="0" t="0" r="8255" b="0"/>
            <wp:docPr id="192410437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104377" name="图片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40610" cy="2057400"/>
            <wp:effectExtent l="0" t="0" r="2540" b="0"/>
            <wp:docPr id="20665003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500321" name="图片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t>图</w:t>
      </w:r>
      <w:r>
        <w:t xml:space="preserve"> 4.5-1 </w:t>
      </w:r>
      <w:r>
        <w:rPr>
          <w:rFonts w:ascii="宋体" w:hAnsi="宋体"/>
        </w:rPr>
        <w:t>乔木支撑方式</w:t>
      </w:r>
    </w:p>
    <w:p w14:paraId="1A774102">
      <w:pPr>
        <w:ind w:firstLine="482"/>
        <w:rPr>
          <w:b/>
          <w:bCs/>
        </w:rPr>
      </w:pPr>
      <w:r>
        <w:rPr>
          <w:rFonts w:ascii="宋体" w:hAnsi="宋体"/>
          <w:b/>
          <w:bCs/>
        </w:rPr>
        <w:t>（</w:t>
      </w:r>
      <w:r>
        <w:rPr>
          <w:b/>
          <w:bCs/>
        </w:rPr>
        <w:t>4</w:t>
      </w:r>
      <w:r>
        <w:rPr>
          <w:rFonts w:ascii="宋体" w:hAnsi="宋体"/>
          <w:b/>
          <w:bCs/>
        </w:rPr>
        <w:t>）种植穴准备</w:t>
      </w:r>
    </w:p>
    <w:p w14:paraId="4A5AAD4F">
      <w:pPr>
        <w:ind w:firstLine="480"/>
      </w:pPr>
      <w:r>
        <w:rPr>
          <w:rFonts w:ascii="宋体" w:hAnsi="宋体"/>
        </w:rPr>
        <w:t>种植穴的大小、形状、深浅应根据迁移树木泥球大小、形状而定，种植穴必须符合上下大小一致的规格。栽植穴应根据土球的直径（或长宽）加大</w:t>
      </w:r>
      <w:r>
        <w:t>60 cm-80 cm</w:t>
      </w:r>
      <w:r>
        <w:rPr>
          <w:rFonts w:ascii="宋体" w:hAnsi="宋体"/>
        </w:rPr>
        <w:t>，深度增加</w:t>
      </w:r>
      <w:r>
        <w:t>20cm-30cm</w:t>
      </w:r>
      <w:r>
        <w:rPr>
          <w:rFonts w:ascii="宋体" w:hAnsi="宋体"/>
        </w:rPr>
        <w:t>。尽可能不断或少断根，确保迁移后树木成活率大于</w:t>
      </w:r>
      <w:r>
        <w:t>85%</w:t>
      </w:r>
      <w:r>
        <w:rPr>
          <w:rFonts w:ascii="宋体" w:hAnsi="宋体"/>
        </w:rPr>
        <w:t>。</w:t>
      </w:r>
    </w:p>
    <w:p w14:paraId="620C7354">
      <w:pPr>
        <w:ind w:firstLine="482"/>
        <w:rPr>
          <w:b/>
          <w:bCs/>
        </w:rPr>
      </w:pPr>
      <w:r>
        <w:rPr>
          <w:rFonts w:ascii="宋体" w:hAnsi="宋体"/>
          <w:b/>
          <w:bCs/>
        </w:rPr>
        <w:t>（</w:t>
      </w:r>
      <w:r>
        <w:rPr>
          <w:b/>
          <w:bCs/>
        </w:rPr>
        <w:t>5</w:t>
      </w:r>
      <w:r>
        <w:rPr>
          <w:rFonts w:ascii="宋体" w:hAnsi="宋体"/>
          <w:b/>
          <w:bCs/>
        </w:rPr>
        <w:t>）浇水及清除障碍物</w:t>
      </w:r>
      <w:r>
        <w:rPr>
          <w:b/>
          <w:bCs/>
        </w:rPr>
        <w:t xml:space="preserve"> </w:t>
      </w:r>
    </w:p>
    <w:p w14:paraId="220C4877">
      <w:pPr>
        <w:ind w:firstLine="480"/>
      </w:pPr>
      <w:r>
        <w:rPr>
          <w:rFonts w:ascii="宋体" w:hAnsi="宋体"/>
        </w:rPr>
        <w:t>大树起挖前数日，根据土壤干湿情况适当灌水，以防挖掘时土壤过干导致土球松散。在起树前，应把树干周围</w:t>
      </w:r>
      <w:r>
        <w:t>2-3 m</w:t>
      </w:r>
      <w:r>
        <w:rPr>
          <w:rFonts w:ascii="宋体" w:hAnsi="宋体"/>
        </w:rPr>
        <w:t xml:space="preserve">以内的障碍物清除干净，并将地面大致整平。 </w:t>
      </w:r>
    </w:p>
    <w:p w14:paraId="542B79DC">
      <w:pPr>
        <w:ind w:firstLine="482"/>
        <w:rPr>
          <w:b/>
          <w:bCs/>
        </w:rPr>
      </w:pPr>
      <w:r>
        <w:rPr>
          <w:rFonts w:ascii="宋体" w:hAnsi="宋体"/>
          <w:b/>
          <w:bCs/>
        </w:rPr>
        <w:t>（</w:t>
      </w:r>
      <w:r>
        <w:rPr>
          <w:b/>
          <w:bCs/>
        </w:rPr>
        <w:t>6</w:t>
      </w:r>
      <w:r>
        <w:rPr>
          <w:rFonts w:ascii="宋体" w:hAnsi="宋体"/>
          <w:b/>
          <w:bCs/>
        </w:rPr>
        <w:t>）夏秋季节注意事项：</w:t>
      </w:r>
    </w:p>
    <w:p w14:paraId="23864F70">
      <w:pPr>
        <w:ind w:firstLine="480"/>
      </w:pPr>
      <w:r>
        <w:rPr>
          <w:rFonts w:ascii="宋体" w:hAnsi="宋体"/>
        </w:rPr>
        <w:t>夏秋季节移植难度大，为降低蒸腾量，可在树冠周围搭荫棚或挂草帘；为保持树干的湿度，减少树皮蒸腾，要对树干进行包裹，裹干时可用浸湿的草绳从树基往上密密的缠绕树干，一直到主干顶部，再将调制的黏土泥浆厚厚地糊满草绳裹着的树干；对于移植的树木防止强阳暴晒，做好补水工作。</w:t>
      </w:r>
    </w:p>
    <w:p w14:paraId="619C0CD1">
      <w:pPr>
        <w:ind w:firstLine="482"/>
        <w:rPr>
          <w:b/>
          <w:bCs/>
        </w:rPr>
      </w:pPr>
      <w:r>
        <w:rPr>
          <w:rFonts w:ascii="宋体" w:hAnsi="宋体"/>
          <w:b/>
          <w:bCs/>
        </w:rPr>
        <w:t>夏季是台风雨水众多的季节，因此也要做好台风的防护措施：</w:t>
      </w:r>
    </w:p>
    <w:p w14:paraId="3873F03D">
      <w:pPr>
        <w:ind w:firstLine="480"/>
      </w:pPr>
      <w:r>
        <w:rPr>
          <w:rFonts w:ascii="宋体" w:hAnsi="宋体"/>
        </w:rPr>
        <w:t>绿化树木台风前的应急修剪：应急修剪适用于迎风地段，针对枝条较密、树冠较大、高压线下、变压器旁、靠近房屋的树木，在台风前安排一次应急修剪，重剪回缩。</w:t>
      </w:r>
    </w:p>
    <w:p w14:paraId="439837E1">
      <w:pPr>
        <w:ind w:firstLine="480"/>
      </w:pPr>
      <w:r>
        <w:rPr>
          <w:rFonts w:ascii="宋体" w:hAnsi="宋体"/>
        </w:rPr>
        <w:t>作为树木修剪的辅助措施，台风来临前夕，结合风前修剪，防风抗风的其它应急措施有：</w:t>
      </w:r>
    </w:p>
    <w:p w14:paraId="28306AEB">
      <w:pPr>
        <w:numPr>
          <w:ilvl w:val="0"/>
          <w:numId w:val="1"/>
        </w:numPr>
        <w:ind w:firstLine="480"/>
      </w:pPr>
      <w:r>
        <w:rPr>
          <w:rFonts w:ascii="宋体" w:hAnsi="宋体"/>
        </w:rPr>
        <w:t>立支柱</w:t>
      </w:r>
    </w:p>
    <w:p w14:paraId="18ADD4AA">
      <w:pPr>
        <w:ind w:firstLine="480"/>
      </w:pPr>
      <w:r>
        <w:rPr>
          <w:rFonts w:ascii="宋体" w:hAnsi="宋体"/>
        </w:rPr>
        <w:t>在台风来临前夕，应认真逐株检查和加固支柱，凡不符合防风要求的支柱及其扎绑情况的，应及时改正。</w:t>
      </w:r>
    </w:p>
    <w:p w14:paraId="3A06DC9B">
      <w:pPr>
        <w:numPr>
          <w:ilvl w:val="0"/>
          <w:numId w:val="1"/>
        </w:numPr>
        <w:ind w:firstLineChars="0"/>
      </w:pPr>
      <w:r>
        <w:rPr>
          <w:rFonts w:ascii="宋体" w:hAnsi="宋体"/>
        </w:rPr>
        <w:t>绑扎</w:t>
      </w:r>
    </w:p>
    <w:p w14:paraId="6493B47F">
      <w:pPr>
        <w:ind w:firstLine="480"/>
      </w:pPr>
      <w:r>
        <w:rPr>
          <w:rFonts w:ascii="宋体" w:hAnsi="宋体"/>
        </w:rPr>
        <w:t>一般宜采用</w:t>
      </w:r>
      <w:r>
        <w:t>8#</w:t>
      </w:r>
      <w:r>
        <w:rPr>
          <w:rFonts w:ascii="宋体" w:hAnsi="宋体"/>
        </w:rPr>
        <w:t>铅丝或绳索绑扎树枝，绑扎点应衬垫橡皮或其他缓冲物，以致不会因为台风使树木摇晃而损伤树皮、树枝。绑扎时一端必须固定。</w:t>
      </w:r>
    </w:p>
    <w:p w14:paraId="2B0D5B58">
      <w:pPr>
        <w:numPr>
          <w:ilvl w:val="0"/>
          <w:numId w:val="1"/>
        </w:numPr>
        <w:ind w:firstLineChars="0"/>
      </w:pPr>
      <w:r>
        <w:rPr>
          <w:rFonts w:ascii="宋体" w:hAnsi="宋体"/>
        </w:rPr>
        <w:t>加土</w:t>
      </w:r>
    </w:p>
    <w:p w14:paraId="638E744E">
      <w:pPr>
        <w:ind w:firstLine="480"/>
      </w:pPr>
      <w:r>
        <w:rPr>
          <w:rFonts w:ascii="宋体" w:hAnsi="宋体"/>
        </w:rPr>
        <w:t>树穴内的土壤，出现低洼和积水现象时，必须在台风来临之前加土，使根颈周围的土成馒头状，利于排水。</w:t>
      </w:r>
    </w:p>
    <w:p w14:paraId="4F2F760A">
      <w:pPr>
        <w:numPr>
          <w:ilvl w:val="0"/>
          <w:numId w:val="1"/>
        </w:numPr>
        <w:ind w:firstLineChars="0"/>
      </w:pPr>
      <w:r>
        <w:rPr>
          <w:rFonts w:ascii="宋体" w:hAnsi="宋体"/>
        </w:rPr>
        <w:t>扶正</w:t>
      </w:r>
    </w:p>
    <w:p w14:paraId="39ACB34A">
      <w:pPr>
        <w:ind w:firstLine="480"/>
      </w:pPr>
      <w:r>
        <w:rPr>
          <w:rFonts w:ascii="宋体" w:hAnsi="宋体"/>
        </w:rPr>
        <w:t>对树身严重倾斜的植株，应在台风侵袭之前进行扶正、培土，设立支柱，同时，台风过后，因台风侵袭而倾斜或倒的树木要及时扶正、培土。</w:t>
      </w:r>
    </w:p>
    <w:p w14:paraId="2A8673AE">
      <w:pPr>
        <w:ind w:left="400" w:firstLine="0" w:firstLineChars="0"/>
      </w:pPr>
      <w:r>
        <w:rPr>
          <w:rFonts w:hint="eastAsia" w:ascii="宋体" w:hAnsi="宋体"/>
        </w:rPr>
        <w:t xml:space="preserve">⑤ </w:t>
      </w:r>
      <w:r>
        <w:rPr>
          <w:rFonts w:ascii="宋体" w:hAnsi="宋体"/>
        </w:rPr>
        <w:t xml:space="preserve"> 打地桩</w:t>
      </w:r>
    </w:p>
    <w:p w14:paraId="55FA4D54">
      <w:pPr>
        <w:ind w:firstLine="480"/>
      </w:pPr>
      <w:r>
        <w:rPr>
          <w:rFonts w:ascii="宋体" w:hAnsi="宋体"/>
        </w:rPr>
        <w:t>打地桩是一种应急措施。主要是针对迎风里弄口等树干基部横置树桩，利用人行道边的侧石，将树桩截成树干和侧石等距离的长度，使树桩</w:t>
      </w:r>
      <w:r>
        <w:t>─</w:t>
      </w:r>
      <w:r>
        <w:rPr>
          <w:rFonts w:ascii="宋体" w:hAnsi="宋体"/>
        </w:rPr>
        <w:t>端顶住树干基部，一头顶在侧石上。</w:t>
      </w:r>
    </w:p>
    <w:p w14:paraId="13C7CF75">
      <w:pPr>
        <w:pStyle w:val="4"/>
        <w:spacing w:before="120"/>
        <w:ind w:firstLine="0" w:firstLineChars="0"/>
      </w:pPr>
      <w:r>
        <w:t>3</w:t>
      </w:r>
      <w:r>
        <w:rPr>
          <w:rFonts w:ascii="宋体" w:hAnsi="宋体"/>
        </w:rPr>
        <w:t>移植</w:t>
      </w:r>
      <w:r>
        <w:t xml:space="preserve"> </w:t>
      </w:r>
    </w:p>
    <w:p w14:paraId="0D2AA920">
      <w:pPr>
        <w:ind w:firstLine="482"/>
        <w:rPr>
          <w:b/>
          <w:bCs/>
        </w:rPr>
      </w:pPr>
      <w:r>
        <w:rPr>
          <w:rFonts w:ascii="宋体" w:hAnsi="宋体"/>
          <w:b/>
          <w:bCs/>
        </w:rPr>
        <w:t>（</w:t>
      </w:r>
      <w:r>
        <w:rPr>
          <w:b/>
          <w:bCs/>
        </w:rPr>
        <w:t>1</w:t>
      </w:r>
      <w:r>
        <w:rPr>
          <w:rFonts w:ascii="宋体" w:hAnsi="宋体"/>
          <w:b/>
          <w:bCs/>
        </w:rPr>
        <w:t xml:space="preserve">）移植方法 </w:t>
      </w:r>
    </w:p>
    <w:p w14:paraId="652FDD30">
      <w:pPr>
        <w:ind w:firstLine="480"/>
      </w:pPr>
      <w:r>
        <w:rPr>
          <w:rFonts w:ascii="宋体" w:hAnsi="宋体"/>
        </w:rPr>
        <w:t>本项目拟迁移树木的胸径均小于</w:t>
      </w:r>
      <w:r>
        <w:t>30 cm</w:t>
      </w:r>
      <w:r>
        <w:rPr>
          <w:rFonts w:ascii="宋体" w:hAnsi="宋体"/>
        </w:rPr>
        <w:t>，建议采用软包扎移植方法。（树种和胸径信息详见</w:t>
      </w:r>
      <w:r>
        <w:rPr>
          <w:rFonts w:ascii="宋体" w:hAnsi="宋体"/>
          <w:b/>
          <w:bCs/>
        </w:rPr>
        <w:t>附表</w:t>
      </w:r>
      <w:r>
        <w:rPr>
          <w:b/>
          <w:bCs/>
        </w:rPr>
        <w:t>3</w:t>
      </w:r>
      <w:r>
        <w:rPr>
          <w:rFonts w:ascii="宋体" w:hAnsi="宋体"/>
        </w:rPr>
        <w:t>）</w:t>
      </w:r>
    </w:p>
    <w:p w14:paraId="39F5A1D2">
      <w:pPr>
        <w:ind w:firstLine="482"/>
        <w:rPr>
          <w:b/>
          <w:bCs/>
        </w:rPr>
      </w:pPr>
      <w:r>
        <w:rPr>
          <w:rFonts w:ascii="宋体" w:hAnsi="宋体"/>
          <w:b/>
          <w:bCs/>
        </w:rPr>
        <w:t>（</w:t>
      </w:r>
      <w:r>
        <w:rPr>
          <w:b/>
          <w:bCs/>
        </w:rPr>
        <w:t>2</w:t>
      </w:r>
      <w:r>
        <w:rPr>
          <w:rFonts w:ascii="宋体" w:hAnsi="宋体"/>
          <w:b/>
          <w:bCs/>
        </w:rPr>
        <w:t xml:space="preserve">）土球挖掘及包装 </w:t>
      </w:r>
    </w:p>
    <w:p w14:paraId="7D3A3206">
      <w:pPr>
        <w:ind w:firstLine="480"/>
      </w:pPr>
      <w:r>
        <w:rPr>
          <w:rFonts w:ascii="宋体" w:hAnsi="宋体"/>
        </w:rPr>
        <w:t>软包扎移植方法：土球直径宜为树木胸径的</w:t>
      </w:r>
      <w:r>
        <w:rPr>
          <w:rFonts w:hint="eastAsia"/>
        </w:rPr>
        <w:t>6</w:t>
      </w:r>
      <w:r>
        <w:t>~</w:t>
      </w:r>
      <w:r>
        <w:rPr>
          <w:rFonts w:hint="eastAsia"/>
        </w:rPr>
        <w:t>8</w:t>
      </w:r>
      <w:r>
        <w:rPr>
          <w:rFonts w:ascii="宋体" w:hAnsi="宋体"/>
        </w:rPr>
        <w:t>倍，土球直径范围外开挖操作沟，沟宽</w:t>
      </w:r>
      <w:r>
        <w:t>60-80cm</w:t>
      </w:r>
      <w:r>
        <w:rPr>
          <w:rFonts w:ascii="宋体" w:hAnsi="宋体"/>
        </w:rPr>
        <w:t>，深度</w:t>
      </w:r>
      <w:r>
        <w:t>80-120cm</w:t>
      </w:r>
      <w:r>
        <w:rPr>
          <w:rFonts w:ascii="宋体" w:hAnsi="宋体"/>
        </w:rPr>
        <w:t>。沟要垂直挖下，不应形成上大下小的尖锅形。去浮土并修整土球，遇大根须用手锯或修枝剪锯断。土球修正至</w:t>
      </w:r>
      <w:r>
        <w:t>2/3</w:t>
      </w:r>
      <w:r>
        <w:rPr>
          <w:rFonts w:ascii="宋体" w:hAnsi="宋体"/>
        </w:rPr>
        <w:t>深度时，逐步向里以</w:t>
      </w:r>
      <w:r>
        <w:t>45°</w:t>
      </w:r>
      <w:r>
        <w:rPr>
          <w:rFonts w:ascii="宋体" w:hAnsi="宋体"/>
        </w:rPr>
        <w:t>角收底。土球修好后扎腰箍，腰箍宽度为土球厚度的</w:t>
      </w:r>
      <w:r>
        <w:t>2/3</w:t>
      </w:r>
      <w:r>
        <w:rPr>
          <w:rFonts w:ascii="宋体" w:hAnsi="宋体"/>
        </w:rPr>
        <w:t>。后采用五角（或井字、橘子式）包扎法，将土球包扎密实；土球较大时，采用双道腰箍，双道五角（或井字、橘子式）交叉包扎，确保土球不松散。</w:t>
      </w:r>
    </w:p>
    <w:p w14:paraId="21AAD7BA">
      <w:pPr>
        <w:pStyle w:val="15"/>
        <w:ind w:left="0" w:leftChars="0" w:firstLine="0" w:firstLineChars="0"/>
        <w:jc w:val="center"/>
        <w:rPr>
          <w:rFonts w:ascii="Times New Roman" w:hAnsi="Times New Roman"/>
          <w:sz w:val="22"/>
          <w:szCs w:val="22"/>
        </w:rPr>
      </w:pPr>
      <w:r>
        <w:drawing>
          <wp:inline distT="0" distB="0" distL="0" distR="0">
            <wp:extent cx="4991100" cy="2802890"/>
            <wp:effectExtent l="0" t="0" r="0" b="0"/>
            <wp:docPr id="40689844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898446" name="图片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2"/>
          <w:szCs w:val="22"/>
        </w:rPr>
        <w:t xml:space="preserve"> </w:t>
      </w:r>
    </w:p>
    <w:p w14:paraId="31F7A072">
      <w:pPr>
        <w:ind w:firstLine="0" w:firstLineChars="0"/>
        <w:jc w:val="center"/>
      </w:pPr>
      <w:r>
        <w:rPr>
          <w:rFonts w:ascii="宋体" w:hAnsi="宋体"/>
        </w:rPr>
        <w:t>图</w:t>
      </w:r>
      <w:r>
        <w:t xml:space="preserve"> 4.5-2</w:t>
      </w:r>
      <w:r>
        <w:rPr>
          <w:rFonts w:ascii="宋体" w:hAnsi="宋体"/>
        </w:rPr>
        <w:t>软包扎移植方法示意图</w:t>
      </w:r>
    </w:p>
    <w:p w14:paraId="606E9D72">
      <w:pPr>
        <w:pStyle w:val="4"/>
        <w:spacing w:before="120"/>
        <w:ind w:firstLine="0" w:firstLineChars="0"/>
      </w:pPr>
      <w:r>
        <w:t>4</w:t>
      </w:r>
      <w:r>
        <w:rPr>
          <w:rFonts w:ascii="宋体" w:hAnsi="宋体"/>
        </w:rPr>
        <w:t>起吊运输</w:t>
      </w:r>
    </w:p>
    <w:p w14:paraId="23BD2419">
      <w:pPr>
        <w:ind w:firstLine="480"/>
        <w:rPr>
          <w:rFonts w:ascii="宋体" w:hAnsi="宋体"/>
        </w:rPr>
      </w:pPr>
      <w:r>
        <w:rPr>
          <w:rFonts w:ascii="宋体" w:hAnsi="宋体"/>
        </w:rPr>
        <w:t>运输过程土球不能损伤松散，树冠枝叶不能受损，起吊时主干、枝条不能作为受力点。采用吊机起吊然后装车运输到迁入地，时间控制在一天以内。</w:t>
      </w:r>
    </w:p>
    <w:p w14:paraId="5E6157F8"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起重机与树木胸径对应如下：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 w14:paraId="3A6727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 w14:paraId="65CD1084">
            <w:pPr>
              <w:ind w:firstLine="0" w:firstLineChars="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树木胸径范围（c</w:t>
            </w:r>
            <w:r>
              <w:rPr>
                <w:rFonts w:ascii="宋体" w:hAnsi="宋体"/>
              </w:rPr>
              <w:t>m</w:t>
            </w:r>
            <w:r>
              <w:rPr>
                <w:rFonts w:hint="eastAsia" w:ascii="宋体" w:hAnsi="宋体"/>
              </w:rPr>
              <w:t>）</w:t>
            </w:r>
          </w:p>
        </w:tc>
        <w:tc>
          <w:tcPr>
            <w:tcW w:w="4148" w:type="dxa"/>
          </w:tcPr>
          <w:p w14:paraId="27FCA8CA">
            <w:pPr>
              <w:ind w:firstLine="0" w:firstLineChars="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起重机规格（</w:t>
            </w:r>
            <w:r>
              <w:rPr>
                <w:rFonts w:ascii="宋体" w:hAnsi="宋体"/>
              </w:rPr>
              <w:t>t</w:t>
            </w:r>
            <w:r>
              <w:rPr>
                <w:rFonts w:hint="eastAsia" w:ascii="宋体" w:hAnsi="宋体"/>
              </w:rPr>
              <w:t>）</w:t>
            </w:r>
          </w:p>
        </w:tc>
      </w:tr>
      <w:tr w14:paraId="426CD7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 w14:paraId="4C3B1AE2">
            <w:pPr>
              <w:ind w:firstLine="0" w:firstLineChars="0"/>
              <w:jc w:val="center"/>
              <w:rPr>
                <w:rFonts w:ascii="宋体" w:hAnsi="宋体"/>
              </w:rPr>
            </w:pPr>
            <w:r>
              <w:t>&lt;</w:t>
            </w:r>
            <w:r>
              <w:rPr>
                <w:rFonts w:hint="eastAsia"/>
              </w:rPr>
              <w:t>10</w:t>
            </w:r>
          </w:p>
        </w:tc>
        <w:tc>
          <w:tcPr>
            <w:tcW w:w="4148" w:type="dxa"/>
          </w:tcPr>
          <w:p w14:paraId="4E6F0911">
            <w:pPr>
              <w:ind w:firstLine="0" w:firstLineChars="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  <w:r>
              <w:rPr>
                <w:rFonts w:ascii="宋体" w:hAnsi="宋体"/>
              </w:rPr>
              <w:t>6</w:t>
            </w:r>
          </w:p>
        </w:tc>
      </w:tr>
      <w:tr w14:paraId="4E210D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 w14:paraId="56AE72DC">
            <w:pPr>
              <w:ind w:firstLine="0" w:firstLineChars="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10-20</w:t>
            </w:r>
          </w:p>
        </w:tc>
        <w:tc>
          <w:tcPr>
            <w:tcW w:w="4148" w:type="dxa"/>
          </w:tcPr>
          <w:p w14:paraId="3B976AAC">
            <w:pPr>
              <w:ind w:firstLine="0" w:firstLineChars="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  <w:r>
              <w:rPr>
                <w:rFonts w:ascii="宋体" w:hAnsi="宋体"/>
              </w:rPr>
              <w:t>6</w:t>
            </w:r>
          </w:p>
        </w:tc>
      </w:tr>
      <w:tr w14:paraId="44C404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 w14:paraId="75455FEF">
            <w:pPr>
              <w:ind w:firstLine="0" w:firstLineChars="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</w:t>
            </w:r>
            <w:r>
              <w:rPr>
                <w:rFonts w:ascii="宋体" w:hAnsi="宋体"/>
              </w:rPr>
              <w:t>0-40</w:t>
            </w:r>
          </w:p>
        </w:tc>
        <w:tc>
          <w:tcPr>
            <w:tcW w:w="4148" w:type="dxa"/>
          </w:tcPr>
          <w:p w14:paraId="749A37E7">
            <w:pPr>
              <w:ind w:firstLine="0" w:firstLineChars="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</w:t>
            </w:r>
            <w:r>
              <w:rPr>
                <w:rFonts w:ascii="宋体" w:hAnsi="宋体"/>
              </w:rPr>
              <w:t>5</w:t>
            </w:r>
          </w:p>
        </w:tc>
      </w:tr>
      <w:tr w14:paraId="5D26AA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 w14:paraId="716CAA48">
            <w:pPr>
              <w:ind w:firstLine="0" w:firstLineChars="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4</w:t>
            </w:r>
            <w:r>
              <w:rPr>
                <w:rFonts w:ascii="宋体" w:hAnsi="宋体"/>
              </w:rPr>
              <w:t>0-70</w:t>
            </w:r>
          </w:p>
        </w:tc>
        <w:tc>
          <w:tcPr>
            <w:tcW w:w="4148" w:type="dxa"/>
          </w:tcPr>
          <w:p w14:paraId="1E5E01DA">
            <w:pPr>
              <w:ind w:firstLine="0" w:firstLineChars="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5</w:t>
            </w:r>
            <w:r>
              <w:rPr>
                <w:rFonts w:ascii="宋体" w:hAnsi="宋体"/>
              </w:rPr>
              <w:t>0</w:t>
            </w:r>
          </w:p>
        </w:tc>
      </w:tr>
      <w:tr w14:paraId="673307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 w14:paraId="0FE1230F">
            <w:pPr>
              <w:ind w:firstLine="0" w:firstLineChars="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7</w:t>
            </w:r>
            <w:r>
              <w:rPr>
                <w:rFonts w:ascii="宋体" w:hAnsi="宋体"/>
              </w:rPr>
              <w:t>0-80</w:t>
            </w:r>
          </w:p>
        </w:tc>
        <w:tc>
          <w:tcPr>
            <w:tcW w:w="4148" w:type="dxa"/>
          </w:tcPr>
          <w:p w14:paraId="31CC6F89">
            <w:pPr>
              <w:ind w:firstLine="0" w:firstLineChars="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8</w:t>
            </w:r>
            <w:r>
              <w:rPr>
                <w:rFonts w:ascii="宋体" w:hAnsi="宋体"/>
              </w:rPr>
              <w:t>0</w:t>
            </w:r>
          </w:p>
        </w:tc>
      </w:tr>
      <w:tr w14:paraId="1B9652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 w14:paraId="11A4BFA8">
            <w:pPr>
              <w:ind w:firstLine="0" w:firstLineChars="0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&gt;80</w:t>
            </w:r>
          </w:p>
        </w:tc>
        <w:tc>
          <w:tcPr>
            <w:tcW w:w="4148" w:type="dxa"/>
          </w:tcPr>
          <w:p w14:paraId="6F417C1E">
            <w:pPr>
              <w:ind w:firstLine="0" w:firstLineChars="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属于后续资源或古树名木，另算</w:t>
            </w:r>
          </w:p>
        </w:tc>
      </w:tr>
    </w:tbl>
    <w:p w14:paraId="20848B6B">
      <w:pPr>
        <w:ind w:firstLine="480"/>
        <w:rPr>
          <w:rFonts w:ascii="宋体" w:hAnsi="宋体"/>
        </w:rPr>
      </w:pPr>
    </w:p>
    <w:p w14:paraId="1812CF5B">
      <w:pPr>
        <w:ind w:firstLine="0" w:firstLineChars="0"/>
        <w:rPr>
          <w:rFonts w:ascii="宋体" w:hAnsi="宋体"/>
        </w:rPr>
      </w:pPr>
      <w:r>
        <w:rPr>
          <w:rFonts w:hint="eastAsia" w:ascii="宋体" w:hAnsi="宋体"/>
        </w:rPr>
        <w:t>货车与树木胸径对应如下：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 w14:paraId="1AA7B8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 w14:paraId="07B3FA14">
            <w:pPr>
              <w:ind w:firstLine="0" w:firstLineChars="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树木胸径范围（c</w:t>
            </w:r>
            <w:r>
              <w:rPr>
                <w:rFonts w:ascii="宋体" w:hAnsi="宋体"/>
              </w:rPr>
              <w:t>m</w:t>
            </w:r>
            <w:r>
              <w:rPr>
                <w:rFonts w:hint="eastAsia" w:ascii="宋体" w:hAnsi="宋体"/>
              </w:rPr>
              <w:t>）</w:t>
            </w:r>
          </w:p>
        </w:tc>
        <w:tc>
          <w:tcPr>
            <w:tcW w:w="4148" w:type="dxa"/>
          </w:tcPr>
          <w:p w14:paraId="37B80F20">
            <w:pPr>
              <w:ind w:firstLine="0" w:firstLineChars="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货车规格（米）</w:t>
            </w:r>
          </w:p>
        </w:tc>
      </w:tr>
      <w:tr w14:paraId="76E437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 w14:paraId="06E47D8D">
            <w:pPr>
              <w:ind w:firstLine="0" w:firstLineChars="0"/>
              <w:jc w:val="center"/>
              <w:rPr>
                <w:rFonts w:ascii="宋体" w:hAnsi="宋体"/>
              </w:rPr>
            </w:pPr>
            <w:r>
              <w:t>&lt;</w:t>
            </w:r>
            <w:r>
              <w:rPr>
                <w:rFonts w:hint="eastAsia"/>
              </w:rPr>
              <w:t>10</w:t>
            </w:r>
          </w:p>
        </w:tc>
        <w:tc>
          <w:tcPr>
            <w:tcW w:w="4148" w:type="dxa"/>
          </w:tcPr>
          <w:p w14:paraId="2B10282D">
            <w:pPr>
              <w:ind w:firstLine="0" w:firstLineChars="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4.2米</w:t>
            </w:r>
          </w:p>
        </w:tc>
      </w:tr>
      <w:tr w14:paraId="442FAE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 w14:paraId="39C37A4B">
            <w:pPr>
              <w:ind w:firstLine="0" w:firstLineChars="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10-20</w:t>
            </w:r>
          </w:p>
        </w:tc>
        <w:tc>
          <w:tcPr>
            <w:tcW w:w="4148" w:type="dxa"/>
          </w:tcPr>
          <w:p w14:paraId="4BE4EE72">
            <w:pPr>
              <w:ind w:firstLine="0" w:firstLineChars="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6.8米</w:t>
            </w:r>
          </w:p>
        </w:tc>
      </w:tr>
      <w:tr w14:paraId="6D35AC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 w14:paraId="583AEE87">
            <w:pPr>
              <w:ind w:firstLine="0" w:firstLineChars="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20</w:t>
            </w:r>
            <w:r>
              <w:rPr>
                <w:rFonts w:ascii="宋体" w:hAnsi="宋体"/>
              </w:rPr>
              <w:t>-40</w:t>
            </w:r>
          </w:p>
        </w:tc>
        <w:tc>
          <w:tcPr>
            <w:tcW w:w="4148" w:type="dxa"/>
          </w:tcPr>
          <w:p w14:paraId="67B12FF7">
            <w:pPr>
              <w:ind w:firstLine="0" w:firstLineChars="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6.8米、7.6米</w:t>
            </w:r>
          </w:p>
        </w:tc>
      </w:tr>
      <w:tr w14:paraId="180A5A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 w14:paraId="0F5ECB8E">
            <w:pPr>
              <w:ind w:firstLine="0" w:firstLineChars="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4</w:t>
            </w:r>
            <w:r>
              <w:rPr>
                <w:rFonts w:ascii="宋体" w:hAnsi="宋体"/>
              </w:rPr>
              <w:t>0-70</w:t>
            </w:r>
          </w:p>
        </w:tc>
        <w:tc>
          <w:tcPr>
            <w:tcW w:w="4148" w:type="dxa"/>
          </w:tcPr>
          <w:p w14:paraId="20AF2CA7">
            <w:pPr>
              <w:ind w:firstLine="0" w:firstLineChars="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9.6米</w:t>
            </w:r>
          </w:p>
        </w:tc>
      </w:tr>
      <w:tr w14:paraId="275960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 w14:paraId="65249578">
            <w:pPr>
              <w:ind w:firstLine="0" w:firstLineChars="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7</w:t>
            </w:r>
            <w:r>
              <w:rPr>
                <w:rFonts w:ascii="宋体" w:hAnsi="宋体"/>
              </w:rPr>
              <w:t>0-80</w:t>
            </w:r>
          </w:p>
        </w:tc>
        <w:tc>
          <w:tcPr>
            <w:tcW w:w="4148" w:type="dxa"/>
          </w:tcPr>
          <w:p w14:paraId="37A70562">
            <w:pPr>
              <w:ind w:firstLine="0" w:firstLineChars="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平板拖车</w:t>
            </w:r>
          </w:p>
        </w:tc>
      </w:tr>
      <w:tr w14:paraId="4DAEE9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 w14:paraId="6A6E21B3">
            <w:pPr>
              <w:ind w:firstLine="0" w:firstLineChars="0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&gt;80</w:t>
            </w:r>
          </w:p>
        </w:tc>
        <w:tc>
          <w:tcPr>
            <w:tcW w:w="4148" w:type="dxa"/>
          </w:tcPr>
          <w:p w14:paraId="30849278">
            <w:pPr>
              <w:ind w:firstLine="0" w:firstLineChars="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属于后续资源或古树名木，另算</w:t>
            </w:r>
          </w:p>
        </w:tc>
      </w:tr>
    </w:tbl>
    <w:p w14:paraId="68D97664">
      <w:pPr>
        <w:ind w:firstLine="480"/>
        <w:rPr>
          <w:rFonts w:ascii="宋体" w:hAnsi="宋体"/>
        </w:rPr>
      </w:pPr>
    </w:p>
    <w:p w14:paraId="5D4474C6">
      <w:pPr>
        <w:pStyle w:val="4"/>
        <w:spacing w:before="120"/>
        <w:ind w:firstLine="0" w:firstLineChars="0"/>
      </w:pPr>
      <w:r>
        <w:t>5</w:t>
      </w:r>
      <w:r>
        <w:rPr>
          <w:rFonts w:ascii="宋体" w:hAnsi="宋体"/>
        </w:rPr>
        <w:t>种植</w:t>
      </w:r>
    </w:p>
    <w:p w14:paraId="4D5A09A9">
      <w:pPr>
        <w:ind w:firstLine="480"/>
      </w:pPr>
      <w:r>
        <w:rPr>
          <w:rFonts w:ascii="宋体" w:hAnsi="宋体"/>
        </w:rPr>
        <w:t>（</w:t>
      </w:r>
      <w:r>
        <w:t>1</w:t>
      </w:r>
      <w:r>
        <w:rPr>
          <w:rFonts w:ascii="宋体" w:hAnsi="宋体"/>
        </w:rPr>
        <w:t xml:space="preserve">）树木运到种植地后应检查树干、树冠和土球损伤情况。土球大小规格和种植穴规格应适宜。土球有松散漏底的，应在漏底对应种植穴的部位填上种植土。 </w:t>
      </w:r>
    </w:p>
    <w:p w14:paraId="450CC023">
      <w:pPr>
        <w:ind w:firstLine="480"/>
      </w:pPr>
      <w:r>
        <w:rPr>
          <w:rFonts w:ascii="宋体" w:hAnsi="宋体"/>
        </w:rPr>
        <w:t>（</w:t>
      </w:r>
      <w:r>
        <w:t>2</w:t>
      </w:r>
      <w:r>
        <w:rPr>
          <w:rFonts w:ascii="宋体" w:hAnsi="宋体"/>
        </w:rPr>
        <w:t>）定植起吊前可在树干上捆绑两根绳索，以便吊装和定植时用人力控制方向；定植起吊时使树体直立，以便直接进树穴；距树穴</w:t>
      </w:r>
      <w:r>
        <w:t>20-30 cm</w:t>
      </w:r>
      <w:r>
        <w:rPr>
          <w:rFonts w:ascii="宋体" w:hAnsi="宋体"/>
        </w:rPr>
        <w:t>时，由指挥员掌握好定植方位，应尽量符合树木原生长朝向。将树木轻落树穴中，稳住树体。</w:t>
      </w:r>
      <w:r>
        <w:t xml:space="preserve"> </w:t>
      </w:r>
    </w:p>
    <w:p w14:paraId="204F3AFD">
      <w:pPr>
        <w:ind w:firstLine="480"/>
      </w:pPr>
      <w:r>
        <w:rPr>
          <w:rFonts w:ascii="宋体" w:hAnsi="宋体"/>
        </w:rPr>
        <w:t>（</w:t>
      </w:r>
      <w:r>
        <w:t>3</w:t>
      </w:r>
      <w:r>
        <w:rPr>
          <w:rFonts w:ascii="宋体" w:hAnsi="宋体"/>
        </w:rPr>
        <w:t xml:space="preserve">）树木落入树穴后，首先应拉好浪风绳。用软包扎移植的，先去掉包装材料，然后均匀填上种植土，分层夯实。用刚性包扎法移植的，树木移至种植穴后，拆除可脱卸安装，抽出底部钢板，并卸掉四面钢板，抽底板时防止树木移动，然后均匀填土，分层夯实。 </w:t>
      </w:r>
    </w:p>
    <w:p w14:paraId="226CD680">
      <w:pPr>
        <w:ind w:firstLine="480"/>
      </w:pPr>
      <w:r>
        <w:rPr>
          <w:rFonts w:ascii="宋体" w:hAnsi="宋体"/>
        </w:rPr>
        <w:t>（</w:t>
      </w:r>
      <w:r>
        <w:t>4</w:t>
      </w:r>
      <w:r>
        <w:rPr>
          <w:rFonts w:ascii="宋体" w:hAnsi="宋体"/>
        </w:rPr>
        <w:t xml:space="preserve">）大树的支撑宜用钢管或树木支撑专业设备进行三角或四角支撑，也可用细钢丝绳牵拉埋深支撑，绳与树干相接处垫软物。必要时，部分大树需要用钢架来固定支撑。 </w:t>
      </w:r>
    </w:p>
    <w:p w14:paraId="2E8D167B">
      <w:pPr>
        <w:ind w:firstLine="480"/>
      </w:pPr>
      <w:r>
        <w:rPr>
          <w:rFonts w:ascii="宋体" w:hAnsi="宋体"/>
        </w:rPr>
        <w:t>（</w:t>
      </w:r>
      <w:r>
        <w:t>5</w:t>
      </w:r>
      <w:r>
        <w:rPr>
          <w:rFonts w:ascii="宋体" w:hAnsi="宋体"/>
        </w:rPr>
        <w:t>）支撑宜在树干高</w:t>
      </w:r>
      <w:r>
        <w:t>2/3</w:t>
      </w:r>
      <w:r>
        <w:rPr>
          <w:rFonts w:ascii="宋体" w:hAnsi="宋体"/>
        </w:rPr>
        <w:t xml:space="preserve">处或树干二级分叉处，采用三角撑时一根撑杆必须面向主风向， 其它两根可均匀分布。发现土面下沉时，必须及时升高扎缚部位，以免吊桩。 </w:t>
      </w:r>
    </w:p>
    <w:p w14:paraId="082E5A88">
      <w:pPr>
        <w:ind w:firstLine="480"/>
      </w:pPr>
      <w:r>
        <w:rPr>
          <w:rFonts w:ascii="宋体" w:hAnsi="宋体"/>
        </w:rPr>
        <w:t>（</w:t>
      </w:r>
      <w:r>
        <w:t>6</w:t>
      </w:r>
      <w:r>
        <w:rPr>
          <w:rFonts w:ascii="宋体" w:hAnsi="宋体"/>
        </w:rPr>
        <w:t>）树木定植时，回填</w:t>
      </w:r>
      <w:r>
        <w:t>1/3</w:t>
      </w:r>
      <w:r>
        <w:rPr>
          <w:rFonts w:ascii="宋体" w:hAnsi="宋体"/>
        </w:rPr>
        <w:t>土时，浇第一遍水，使土下沉，整理树穴；继续回填至和土球齐平时，浇足第二遍水。定植后做好水圈，水圈内径与树穴重叠，深度</w:t>
      </w:r>
      <w:r>
        <w:t>20-30cm</w:t>
      </w:r>
      <w:r>
        <w:rPr>
          <w:rFonts w:ascii="宋体" w:hAnsi="宋体"/>
        </w:rPr>
        <w:t xml:space="preserve">。 </w:t>
      </w:r>
    </w:p>
    <w:p w14:paraId="10F7FFA7">
      <w:pPr>
        <w:ind w:firstLine="480"/>
      </w:pPr>
      <w:r>
        <w:drawing>
          <wp:inline distT="0" distB="0" distL="0" distR="0">
            <wp:extent cx="5029200" cy="3924300"/>
            <wp:effectExtent l="0" t="0" r="0" b="0"/>
            <wp:docPr id="102847349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473494" name="图片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A47BC">
      <w:pPr>
        <w:ind w:firstLine="480"/>
        <w:jc w:val="center"/>
      </w:pPr>
      <w:r>
        <w:rPr>
          <w:rFonts w:ascii="宋体" w:hAnsi="宋体"/>
        </w:rPr>
        <w:t>图</w:t>
      </w:r>
      <w:r>
        <w:t xml:space="preserve">4.5-3 </w:t>
      </w:r>
      <w:r>
        <w:rPr>
          <w:rFonts w:ascii="宋体" w:hAnsi="宋体"/>
        </w:rPr>
        <w:t>乔木种植示意图</w:t>
      </w:r>
    </w:p>
    <w:p w14:paraId="59BF6DE1">
      <w:pPr>
        <w:pStyle w:val="4"/>
        <w:spacing w:before="120"/>
        <w:ind w:firstLine="0" w:firstLineChars="0"/>
      </w:pPr>
      <w:r>
        <w:t>6</w:t>
      </w:r>
      <w:r>
        <w:rPr>
          <w:rFonts w:ascii="宋体" w:hAnsi="宋体"/>
        </w:rPr>
        <w:t>养护</w:t>
      </w:r>
    </w:p>
    <w:p w14:paraId="10667BE7">
      <w:pPr>
        <w:ind w:firstLine="480"/>
        <w:rPr>
          <w:rFonts w:ascii="宋体" w:hAnsi="宋体"/>
        </w:rPr>
      </w:pPr>
      <w:r>
        <w:rPr>
          <w:rFonts w:ascii="宋体" w:hAnsi="宋体"/>
        </w:rPr>
        <w:t>迁移后养护管理要求安排专业人员养护，做好现场管理工作，树木的养护管理按照《园林绿地养护管理技术规范》开展，新移植树木应注意遮荫、防风、防寒处理。</w:t>
      </w:r>
    </w:p>
    <w:p w14:paraId="49998068"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迁移后需根据约定的养护期对树木进行养护，保证树木在养护期结束后存活率达到8</w:t>
      </w:r>
      <w:r>
        <w:rPr>
          <w:rFonts w:ascii="宋体" w:hAnsi="宋体"/>
        </w:rPr>
        <w:t>5%</w:t>
      </w:r>
      <w:r>
        <w:rPr>
          <w:rFonts w:hint="eastAsia" w:ascii="宋体" w:hAnsi="宋体"/>
        </w:rPr>
        <w:t>以上，养护单位需根据迁移场地的水源情况，土壤情况，自然环境等进行水源改造（若迁移场地无水源则按需雇用水车），土壤改造，定期修剪等措施。</w:t>
      </w:r>
    </w:p>
    <w:p w14:paraId="6723BDA1"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养护期为1</w:t>
      </w:r>
      <w:r>
        <w:rPr>
          <w:rFonts w:ascii="宋体" w:hAnsi="宋体"/>
        </w:rPr>
        <w:t>2</w:t>
      </w:r>
      <w:r>
        <w:rPr>
          <w:rFonts w:hint="eastAsia" w:ascii="宋体" w:hAnsi="宋体"/>
        </w:rPr>
        <w:t>个月，养护期间树木需定期浇水，和使用营养剂。浇水视天气情况而定，营养剂的使用为每个树每个月一包。</w:t>
      </w:r>
    </w:p>
    <w:p w14:paraId="2467E68D">
      <w:pPr>
        <w:pStyle w:val="4"/>
        <w:spacing w:before="120"/>
        <w:ind w:firstLine="0" w:firstLineChars="0"/>
        <w:rPr>
          <w:rFonts w:ascii="宋体" w:hAnsi="宋体"/>
        </w:rPr>
      </w:pPr>
      <w:r>
        <w:rPr>
          <w:rFonts w:hint="eastAsia" w:ascii="宋体" w:hAnsi="宋体"/>
        </w:rPr>
        <w:t>7迁入地</w:t>
      </w:r>
    </w:p>
    <w:p w14:paraId="065734AE">
      <w:pPr>
        <w:ind w:firstLine="480"/>
        <w:rPr>
          <w:rFonts w:hint="eastAsia"/>
        </w:rPr>
      </w:pPr>
      <w:r>
        <w:rPr>
          <w:rFonts w:hint="eastAsia"/>
        </w:rPr>
        <w:t>迁入地需</w:t>
      </w:r>
      <w:r>
        <w:rPr>
          <w:rFonts w:hint="eastAsia"/>
          <w:lang w:eastAsia="zh-CN"/>
        </w:rPr>
        <w:t>要</w:t>
      </w:r>
      <w:r>
        <w:rPr>
          <w:rFonts w:hint="eastAsia"/>
        </w:rPr>
        <w:t>平整土地，清除杂物。</w:t>
      </w:r>
      <w:bookmarkStart w:id="0" w:name="_GoBack"/>
      <w:bookmarkEnd w:id="0"/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72B91E">
    <w:pPr>
      <w:pStyle w:val="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EAEC73"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BD362D">
    <w:pPr>
      <w:pStyle w:val="5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B20012">
    <w:pPr>
      <w:pStyle w:val="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1A67DF">
    <w:pPr>
      <w:pStyle w:val="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5D3A8A">
    <w:pPr>
      <w:pStyle w:val="6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3B6976"/>
    <w:multiLevelType w:val="multilevel"/>
    <w:tmpl w:val="043B6976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 w:ascii="宋体" w:hAnsi="宋体" w:eastAsia="宋体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UxMDc4MmJmOTFjMzBmNDAwYzY1NWE1YjZmNWNmOTkifQ=="/>
  </w:docVars>
  <w:rsids>
    <w:rsidRoot w:val="00E61899"/>
    <w:rsid w:val="00027C8D"/>
    <w:rsid w:val="000846B0"/>
    <w:rsid w:val="004E78C7"/>
    <w:rsid w:val="0057140B"/>
    <w:rsid w:val="0073190E"/>
    <w:rsid w:val="00AB5563"/>
    <w:rsid w:val="00BB62E1"/>
    <w:rsid w:val="00D275CB"/>
    <w:rsid w:val="00D346AE"/>
    <w:rsid w:val="00E61899"/>
    <w:rsid w:val="00E94D46"/>
    <w:rsid w:val="00F4040D"/>
    <w:rsid w:val="00FA071A"/>
    <w:rsid w:val="0F69745B"/>
    <w:rsid w:val="3CE84BC4"/>
    <w:rsid w:val="6877354A"/>
    <w:rsid w:val="78635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1044" w:firstLineChars="200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2"/>
    <w:autoRedefine/>
    <w:qFormat/>
    <w:uiPriority w:val="99"/>
    <w:pPr>
      <w:spacing w:before="100" w:beforeAutospacing="1" w:after="100" w:afterAutospacing="1" w:line="240" w:lineRule="auto"/>
      <w:ind w:left="420" w:hanging="420" w:firstLineChars="0"/>
      <w:outlineLvl w:val="0"/>
    </w:pPr>
    <w:rPr>
      <w:b/>
      <w:bCs/>
      <w:kern w:val="44"/>
      <w:sz w:val="32"/>
      <w:szCs w:val="32"/>
    </w:rPr>
  </w:style>
  <w:style w:type="paragraph" w:styleId="3">
    <w:name w:val="heading 2"/>
    <w:basedOn w:val="1"/>
    <w:next w:val="1"/>
    <w:link w:val="13"/>
    <w:autoRedefine/>
    <w:qFormat/>
    <w:uiPriority w:val="99"/>
    <w:pPr>
      <w:keepNext/>
      <w:keepLines/>
      <w:spacing w:beforeLines="50" w:after="100" w:afterAutospacing="1"/>
      <w:ind w:firstLine="0" w:firstLineChars="0"/>
      <w:outlineLvl w:val="1"/>
    </w:pPr>
    <w:rPr>
      <w:b/>
      <w:bCs/>
      <w:sz w:val="30"/>
      <w:szCs w:val="30"/>
    </w:rPr>
  </w:style>
  <w:style w:type="paragraph" w:styleId="4">
    <w:name w:val="heading 3"/>
    <w:basedOn w:val="1"/>
    <w:next w:val="1"/>
    <w:link w:val="16"/>
    <w:autoRedefine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9"/>
    <w:autoRedefine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6">
    <w:name w:val="head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Subtitle"/>
    <w:basedOn w:val="1"/>
    <w:next w:val="1"/>
    <w:link w:val="21"/>
    <w:autoRedefine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 w:cstheme="minorBidi"/>
      <w:b/>
      <w:bCs/>
      <w:kern w:val="28"/>
      <w:sz w:val="32"/>
      <w:szCs w:val="32"/>
    </w:rPr>
  </w:style>
  <w:style w:type="paragraph" w:styleId="8">
    <w:name w:val="Title"/>
    <w:basedOn w:val="1"/>
    <w:next w:val="1"/>
    <w:link w:val="20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2">
    <w:name w:val="标题 1 字符"/>
    <w:basedOn w:val="11"/>
    <w:link w:val="2"/>
    <w:autoRedefine/>
    <w:qFormat/>
    <w:uiPriority w:val="99"/>
    <w:rPr>
      <w:rFonts w:ascii="Times New Roman" w:hAnsi="Times New Roman" w:eastAsia="宋体" w:cs="Times New Roman"/>
      <w:b/>
      <w:bCs/>
      <w:kern w:val="44"/>
      <w:sz w:val="32"/>
      <w:szCs w:val="32"/>
    </w:rPr>
  </w:style>
  <w:style w:type="character" w:customStyle="1" w:styleId="13">
    <w:name w:val="标题 2 字符"/>
    <w:basedOn w:val="11"/>
    <w:link w:val="3"/>
    <w:autoRedefine/>
    <w:qFormat/>
    <w:uiPriority w:val="99"/>
    <w:rPr>
      <w:rFonts w:ascii="Times New Roman" w:hAnsi="Times New Roman" w:eastAsia="宋体" w:cs="Times New Roman"/>
      <w:b/>
      <w:bCs/>
      <w:sz w:val="30"/>
      <w:szCs w:val="30"/>
    </w:rPr>
  </w:style>
  <w:style w:type="character" w:customStyle="1" w:styleId="14">
    <w:name w:val="15"/>
    <w:basedOn w:val="11"/>
    <w:qFormat/>
    <w:uiPriority w:val="0"/>
    <w:rPr>
      <w:rFonts w:hint="eastAsia" w:ascii="宋体" w:hAnsi="宋体" w:eastAsia="宋体"/>
      <w:color w:val="000000"/>
      <w:sz w:val="18"/>
      <w:szCs w:val="18"/>
    </w:rPr>
  </w:style>
  <w:style w:type="paragraph" w:customStyle="1" w:styleId="15">
    <w:name w:val="目录 21"/>
    <w:basedOn w:val="1"/>
    <w:next w:val="1"/>
    <w:semiHidden/>
    <w:qFormat/>
    <w:uiPriority w:val="0"/>
    <w:pPr>
      <w:spacing w:before="100" w:beforeAutospacing="1" w:after="100" w:afterAutospacing="1"/>
      <w:ind w:left="420" w:leftChars="200"/>
    </w:pPr>
    <w:rPr>
      <w:rFonts w:ascii="Calibri" w:hAnsi="Calibri"/>
    </w:rPr>
  </w:style>
  <w:style w:type="character" w:customStyle="1" w:styleId="16">
    <w:name w:val="标题 3 字符"/>
    <w:basedOn w:val="11"/>
    <w:link w:val="4"/>
    <w:semiHidden/>
    <w:uiPriority w:val="9"/>
    <w:rPr>
      <w:rFonts w:ascii="Times New Roman" w:hAnsi="Times New Roman" w:eastAsia="宋体" w:cs="Times New Roman"/>
      <w:b/>
      <w:bCs/>
      <w:sz w:val="32"/>
      <w:szCs w:val="32"/>
    </w:rPr>
  </w:style>
  <w:style w:type="paragraph" w:customStyle="1" w:styleId="17">
    <w:name w:val="Table Paragraph"/>
    <w:basedOn w:val="1"/>
    <w:qFormat/>
    <w:uiPriority w:val="0"/>
    <w:rPr>
      <w:rFonts w:ascii="仿宋" w:hAnsi="仿宋" w:eastAsia="仿宋" w:cs="宋体"/>
    </w:rPr>
  </w:style>
  <w:style w:type="character" w:customStyle="1" w:styleId="18">
    <w:name w:val="页眉 字符"/>
    <w:basedOn w:val="11"/>
    <w:link w:val="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9">
    <w:name w:val="页脚 字符"/>
    <w:basedOn w:val="11"/>
    <w:link w:val="5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0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1">
    <w:name w:val="副标题 字符"/>
    <w:basedOn w:val="11"/>
    <w:link w:val="7"/>
    <w:uiPriority w:val="11"/>
    <w:rPr>
      <w:b/>
      <w:bCs/>
      <w:kern w:val="28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6.jpeg"/><Relationship Id="rId16" Type="http://schemas.openxmlformats.org/officeDocument/2006/relationships/image" Target="media/image5.jpe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84E50B-F1A1-4370-9DDC-6B129900995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2683</Words>
  <Characters>2869</Characters>
  <Lines>21</Lines>
  <Paragraphs>6</Paragraphs>
  <TotalTime>6</TotalTime>
  <ScaleCrop>false</ScaleCrop>
  <LinksUpToDate>false</LinksUpToDate>
  <CharactersWithSpaces>2918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2023-07-20T09:06:00Z</dcterms:created>
  <dc:creator>chen many</dc:creator>
  <cp:lastModifiedBy>飞雨</cp:lastModifiedBy>
  <dcterms:modified xsi:type="dcterms:W3CDTF">2025-05-29T00:58:24Z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DA37C14CF7D04D96A776F1D2D7DC9838_12</vt:lpwstr>
  </property>
  <property fmtid="{D5CDD505-2E9C-101B-9397-08002B2CF9AE}" pid="4" name="KSOTemplateDocerSaveRecord">
    <vt:lpwstr>eyJoZGlkIjoiMDUxMDc4MmJmOTFjMzBmNDAwYzY1NWE1YjZmNWNmOTkiLCJ1c2VySWQiOiIzNjQ4Mjk2OTQifQ==</vt:lpwstr>
  </property>
</Properties>
</file>