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附件6-2：</w:t>
      </w:r>
    </w:p>
    <w:p>
      <w:pPr>
        <w:spacing w:line="600" w:lineRule="exact"/>
        <w:ind w:firstLine="640"/>
        <w:jc w:val="center"/>
        <w:rPr>
          <w:color w:val="auto"/>
          <w:sz w:val="32"/>
          <w:szCs w:val="32"/>
        </w:rPr>
      </w:pPr>
    </w:p>
    <w:p>
      <w:pPr>
        <w:snapToGrid w:val="0"/>
        <w:spacing w:line="640" w:lineRule="exact"/>
        <w:ind w:firstLine="0" w:firstLineChars="0"/>
        <w:rPr>
          <w:rFonts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  <w:t>2022年度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  <w:t>财务情况说明书（国有资产管理情况报告）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  <w:t>内容提要</w:t>
      </w:r>
    </w:p>
    <w:p>
      <w:pPr>
        <w:spacing w:line="600" w:lineRule="exact"/>
        <w:ind w:firstLine="0" w:firstLineChars="0"/>
        <w:jc w:val="center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（企业</w:t>
      </w:r>
      <w:r>
        <w:rPr>
          <w:rFonts w:hint="eastAsia" w:eastAsia="楷体_GB2312"/>
          <w:color w:val="auto"/>
          <w:sz w:val="32"/>
          <w:szCs w:val="32"/>
        </w:rPr>
        <w:t>使用</w:t>
      </w:r>
      <w:r>
        <w:rPr>
          <w:rFonts w:eastAsia="楷体_GB2312"/>
          <w:color w:val="auto"/>
          <w:sz w:val="32"/>
          <w:szCs w:val="32"/>
        </w:rPr>
        <w:t>格式）</w:t>
      </w:r>
    </w:p>
    <w:p>
      <w:pPr>
        <w:spacing w:line="600" w:lineRule="exact"/>
        <w:ind w:firstLine="640"/>
        <w:jc w:val="center"/>
        <w:rPr>
          <w:rFonts w:eastAsia="楷体_GB2312"/>
          <w:color w:val="auto"/>
          <w:sz w:val="32"/>
          <w:szCs w:val="32"/>
        </w:rPr>
      </w:pP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bookmarkStart w:id="0" w:name="_Hlk20078210"/>
      <w:r>
        <w:rPr>
          <w:rFonts w:hint="eastAsia" w:ascii="仿宋_GB2312" w:hAnsi="宋体"/>
          <w:color w:val="auto"/>
          <w:sz w:val="32"/>
          <w:szCs w:val="32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请按照提纲编写，无内容的请在标题下注明“无相关内容”。</w:t>
      </w:r>
      <w:r>
        <w:rPr>
          <w:rFonts w:hint="eastAsia" w:ascii="仿宋_GB2312" w:hAnsi="宋体"/>
          <w:color w:val="auto"/>
          <w:sz w:val="32"/>
          <w:szCs w:val="32"/>
        </w:rPr>
        <w:t>财务情况说明书主要包括以下内容：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一、企业基本情况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（一）企业简介、企业主营业务范围及经营规模、行业分布等情况。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（二）企业户数变化、合并范围子企业户数、金融子企业、境外子企业与所属上市公司户数，未纳入合并范围户数及原因。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（三）企业上交税费情况分析。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宋体"/>
          <w:color w:val="auto"/>
          <w:sz w:val="32"/>
          <w:szCs w:val="32"/>
        </w:rPr>
        <w:t>（四）企业职工人数及人工成本、薪酬水平等基本情况。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二、财务状况分析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（一）企业年末资产情况、资产结构分析、年度变动情况及原因分析。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（二）企业年末负债情况、负债结构分析、年度变动情况及原因分析。</w:t>
      </w:r>
    </w:p>
    <w:p>
      <w:pPr>
        <w:spacing w:line="600" w:lineRule="exact"/>
        <w:ind w:firstLine="640"/>
        <w:jc w:val="left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（三）企业年末所有者权益情况、所有者权益结构分析、年度变动情况及原因分析。其中所有者权益变动情况分析包括：</w:t>
      </w:r>
      <w:r>
        <w:rPr>
          <w:rFonts w:hint="eastAsia" w:ascii="仿宋_GB2312"/>
          <w:color w:val="auto"/>
          <w:sz w:val="32"/>
          <w:szCs w:val="32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（四）国有资本保值增值情况分析。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（五）企业资产负债率及变动情况分析，债务风险及偿债能力分析。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三、生产经营情况分析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（一）本年度企业总体生产经营成果及变动情况分析，宏观经济政策产生的影响。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color w:val="auto"/>
          <w:sz w:val="32"/>
          <w:szCs w:val="32"/>
        </w:rPr>
        <w:t>各业务板块效益贡献情况，</w:t>
      </w:r>
      <w:r>
        <w:rPr>
          <w:rFonts w:hint="eastAsia" w:ascii="仿宋_GB2312" w:hAnsi="宋体"/>
          <w:color w:val="auto"/>
          <w:sz w:val="32"/>
          <w:szCs w:val="32"/>
        </w:rPr>
        <w:t>所处行业中的地位及发展趋势。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（三）生产经营中面临的困难与挑战。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（四）企业境外投资规模、投资领域、境外投资收益及变化分析；境外投资风险及防范机制分析。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四、企业经济效益分析</w:t>
      </w:r>
    </w:p>
    <w:p>
      <w:pPr>
        <w:pStyle w:val="7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（一）企业盈利能力分析，企业经济效益增减变动的主要原因分析。</w:t>
      </w:r>
    </w:p>
    <w:p>
      <w:pPr>
        <w:spacing w:line="600" w:lineRule="exact"/>
        <w:ind w:firstLine="64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（二）成本费用变动的主要因素，包括原材料费用、能源费用、工资性支出、借款利率调整对效益的影响。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（三）税赋调整对效益的影响，包括有关税种和税率调整、享受税收优惠政策退税返还等。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（四）会计政策、会计估计变更的原因及其对效益的影响。</w:t>
      </w:r>
    </w:p>
    <w:p>
      <w:pPr>
        <w:spacing w:line="600" w:lineRule="exact"/>
        <w:ind w:firstLine="64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（五）本年度房地产开发、高风险业务投资及损益情况，包括：委托理财、股票投资、基金投资、金融衍生业务，分析对企业效益及财务风险的影响程度。</w:t>
      </w:r>
    </w:p>
    <w:p>
      <w:pPr>
        <w:pStyle w:val="7"/>
        <w:spacing w:line="60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（六）亏损企业户数、亏损面、亏损额及原因。</w:t>
      </w:r>
    </w:p>
    <w:p>
      <w:pPr>
        <w:pStyle w:val="7"/>
        <w:spacing w:line="60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（七）企业净资产收益率、总资产报酬率等盈利能力相关指标的年度间对比分析和行业对标。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宋体"/>
          <w:color w:val="auto"/>
          <w:sz w:val="32"/>
          <w:szCs w:val="32"/>
        </w:rPr>
        <w:t>（八）非经营性损益对公司盈利能力的影响。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五、现金流量分析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（一）经营、投资、筹资活动产生的现金流入和流出情况。</w:t>
      </w:r>
    </w:p>
    <w:p>
      <w:pPr>
        <w:autoSpaceDE w:val="0"/>
        <w:autoSpaceDN w:val="0"/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（三）对企业本年度现金流产生重大影响的事项说明。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六、重大事项分析说明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（一）重要专项工作完成情况。例如服务国家重要战略、做出突出社会贡献、深化国企改革、企业低效无效资产清理情况等。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宋体"/>
          <w:color w:val="auto"/>
          <w:sz w:val="32"/>
          <w:szCs w:val="32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 w:ascii="仿宋_GB2312"/>
          <w:color w:val="auto"/>
          <w:sz w:val="32"/>
          <w:szCs w:val="32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color w:val="auto"/>
          <w:sz w:val="32"/>
          <w:szCs w:val="32"/>
        </w:rPr>
        <w:t>等重大事项进行详细说明和分析。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七、企业财务管理情况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（一）集团本部财务人才队伍建设情况，包括中高级职称财务人员占比等。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（二）集团财务管控情况，包括资金管理模式、资金集中度，全面预算管理执行情况、预算偏离度等。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（三）集团财务信息化系统投入情况。</w:t>
      </w:r>
    </w:p>
    <w:p>
      <w:pPr>
        <w:tabs>
          <w:tab w:val="left" w:pos="8595"/>
        </w:tabs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（四）企业财务会计决算工作的问题和改进计划。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八、风险及内控管理情况</w:t>
      </w:r>
    </w:p>
    <w:p>
      <w:pPr>
        <w:autoSpaceDE w:val="0"/>
        <w:autoSpaceDN w:val="0"/>
        <w:spacing w:line="600" w:lineRule="exact"/>
        <w:ind w:firstLine="640"/>
        <w:jc w:val="left"/>
        <w:rPr>
          <w:rFonts w:ascii="仿宋_GB2312" w:hAnsi="Arial"/>
          <w:color w:val="auto"/>
          <w:sz w:val="32"/>
          <w:szCs w:val="32"/>
        </w:rPr>
      </w:pPr>
      <w:r>
        <w:rPr>
          <w:rFonts w:hint="eastAsia" w:ascii="仿宋_GB2312" w:hAnsi="Arial"/>
          <w:color w:val="auto"/>
          <w:sz w:val="32"/>
          <w:szCs w:val="32"/>
        </w:rPr>
        <w:t>（一）</w:t>
      </w:r>
      <w:r>
        <w:rPr>
          <w:rFonts w:hint="eastAsia" w:ascii="仿宋_GB2312" w:hAnsi="宋体"/>
          <w:color w:val="auto"/>
          <w:sz w:val="32"/>
          <w:szCs w:val="32"/>
        </w:rPr>
        <w:t>风险治理和内控管理的组织架构及相关职能部门运转情况。</w:t>
      </w:r>
    </w:p>
    <w:p>
      <w:pPr>
        <w:autoSpaceDE w:val="0"/>
        <w:autoSpaceDN w:val="0"/>
        <w:spacing w:line="600" w:lineRule="exact"/>
        <w:ind w:firstLine="640"/>
        <w:jc w:val="left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（二）风险和内控管理制度及实施情况。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九、问题整改情况</w:t>
      </w:r>
    </w:p>
    <w:p>
      <w:pPr>
        <w:spacing w:line="600" w:lineRule="exact"/>
        <w:ind w:firstLine="640"/>
        <w:rPr>
          <w:rFonts w:ascii="仿宋_GB2312" w:hAnsi="宋体"/>
          <w:color w:val="auto"/>
          <w:sz w:val="32"/>
          <w:szCs w:val="32"/>
        </w:rPr>
      </w:pPr>
      <w:r>
        <w:rPr>
          <w:rFonts w:hint="eastAsia" w:ascii="仿宋_GB2312" w:hAnsi="宋体"/>
          <w:color w:val="auto"/>
          <w:sz w:val="32"/>
          <w:szCs w:val="32"/>
        </w:rPr>
        <w:t>企业对有关方面的检查、审计等监管工作中发现问题的整改落实情况及拟采取的主要措施。</w:t>
      </w:r>
    </w:p>
    <w:p>
      <w:pPr>
        <w:tabs>
          <w:tab w:val="left" w:pos="8595"/>
        </w:tabs>
        <w:spacing w:line="600" w:lineRule="exact"/>
        <w:ind w:firstLine="64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十、财务会计决算工作建议</w:t>
      </w:r>
    </w:p>
    <w:p>
      <w:pPr>
        <w:spacing w:after="190" w:afterLines="50" w:line="600" w:lineRule="exact"/>
        <w:ind w:firstLine="640"/>
        <w:rPr>
          <w:rFonts w:ascii="仿宋_GB2312" w:hAnsi="仿宋_GB2312"/>
          <w:color w:val="auto"/>
          <w:sz w:val="32"/>
          <w:szCs w:val="32"/>
        </w:rPr>
      </w:pPr>
      <w:r>
        <w:rPr>
          <w:rFonts w:hint="eastAsia" w:ascii="仿宋_GB2312" w:hAnsi="仿宋_GB2312"/>
          <w:color w:val="auto"/>
          <w:sz w:val="32"/>
          <w:szCs w:val="32"/>
        </w:rPr>
        <w:t>对国有企业财务会计决算工作的有关建议，包括报表内容、软件系统、报送审核流程、培训指导及其他方面。</w:t>
      </w:r>
    </w:p>
    <w:p>
      <w:pPr>
        <w:spacing w:line="600" w:lineRule="exact"/>
        <w:ind w:firstLine="640"/>
        <w:rPr>
          <w:color w:val="auto"/>
          <w:sz w:val="32"/>
          <w:szCs w:val="32"/>
        </w:rPr>
      </w:pPr>
    </w:p>
    <w:bookmarkEnd w:id="0"/>
    <w:p>
      <w:pPr>
        <w:spacing w:after="190" w:afterLines="50" w:line="600" w:lineRule="exact"/>
        <w:ind w:firstLine="640"/>
        <w:rPr>
          <w:rFonts w:eastAsia="楷体_GB2312"/>
          <w:color w:val="auto"/>
          <w:sz w:val="32"/>
          <w:szCs w:val="32"/>
        </w:rPr>
      </w:pPr>
    </w:p>
    <w:bookmarkEnd w:id="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6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24D10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EFC"/>
    <w:rsid w:val="001B4F9F"/>
    <w:rsid w:val="001C47BB"/>
    <w:rsid w:val="001C4A8A"/>
    <w:rsid w:val="001C5633"/>
    <w:rsid w:val="001E17B7"/>
    <w:rsid w:val="001E2CF5"/>
    <w:rsid w:val="001E54EA"/>
    <w:rsid w:val="001E7D5D"/>
    <w:rsid w:val="001F1AA8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0AFF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0E93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34667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4800"/>
    <w:rsid w:val="00F951F9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04D91438"/>
    <w:rsid w:val="280B6698"/>
    <w:rsid w:val="2DEF9F14"/>
    <w:rsid w:val="4C8D35E6"/>
    <w:rsid w:val="5F6F92C9"/>
    <w:rsid w:val="5FD7658C"/>
    <w:rsid w:val="5FEB3E4C"/>
    <w:rsid w:val="70341AAF"/>
    <w:rsid w:val="77ED1742"/>
    <w:rsid w:val="7CDF4AD0"/>
    <w:rsid w:val="BFAB0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1526</Characters>
  <Lines>12</Lines>
  <Paragraphs>3</Paragraphs>
  <TotalTime>0</TotalTime>
  <ScaleCrop>false</ScaleCrop>
  <LinksUpToDate>false</LinksUpToDate>
  <CharactersWithSpaces>1790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2020-11-06T18:10:00Z</dcterms:created>
  <dc:creator>wang shu</dc:creator>
  <cp:lastModifiedBy>MOE</cp:lastModifiedBy>
  <cp:lastPrinted>2023-02-06T01:16:23Z</cp:lastPrinted>
  <dcterms:modified xsi:type="dcterms:W3CDTF">2023-02-06T01:16:27Z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