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9993ED9">
      <w:pPr>
        <w:spacing w:before="68" w:line="220" w:lineRule="auto"/>
        <w:jc w:val="center"/>
        <w:outlineLvl w:val="0"/>
        <w:rPr>
          <w:rFonts w:ascii="黑体" w:hAnsi="黑体" w:eastAsia="黑体" w:cs="黑体"/>
          <w:sz w:val="28"/>
          <w:szCs w:val="28"/>
          <w:lang w:eastAsia="zh-CN"/>
        </w:rPr>
      </w:pPr>
      <w:r>
        <w:rPr>
          <w:rFonts w:hint="eastAsia" w:ascii="黑体" w:hAnsi="黑体" w:eastAsia="黑体" w:cs="黑体"/>
          <w:spacing w:val="-1"/>
          <w:sz w:val="28"/>
          <w:szCs w:val="28"/>
          <w:u w:val="none"/>
          <w:lang w:val="en-US" w:eastAsia="zh-CN"/>
        </w:rPr>
        <w:t>华南理工大学动物中心</w:t>
      </w:r>
      <w:r>
        <w:rPr>
          <w:rFonts w:hint="eastAsia" w:ascii="黑体" w:hAnsi="黑体" w:eastAsia="黑体" w:cs="黑体"/>
          <w:spacing w:val="-1"/>
          <w:sz w:val="28"/>
          <w:szCs w:val="28"/>
          <w:u w:val="single"/>
          <w:lang w:val="en-US" w:eastAsia="zh-CN"/>
        </w:rPr>
        <w:t xml:space="preserve"> </w:t>
      </w:r>
      <w:r>
        <w:rPr>
          <w:rFonts w:hint="eastAsia" w:ascii="黑体" w:hAnsi="黑体" w:eastAsia="黑体" w:cs="黑体"/>
          <w:color w:val="0000FF"/>
          <w:spacing w:val="-1"/>
          <w:sz w:val="28"/>
          <w:szCs w:val="28"/>
          <w:u w:val="single"/>
          <w:lang w:val="en-US" w:eastAsia="zh-CN"/>
        </w:rPr>
        <w:t>病原微生物名称</w:t>
      </w:r>
      <w:r>
        <w:rPr>
          <w:rFonts w:hint="eastAsia" w:ascii="黑体" w:hAnsi="黑体" w:eastAsia="黑体" w:cs="黑体"/>
          <w:spacing w:val="-1"/>
          <w:sz w:val="28"/>
          <w:szCs w:val="28"/>
          <w:u w:val="single"/>
          <w:lang w:val="en-US" w:eastAsia="zh-CN"/>
        </w:rPr>
        <w:t xml:space="preserve"> </w:t>
      </w:r>
      <w:r>
        <w:rPr>
          <w:rFonts w:ascii="黑体" w:hAnsi="黑体" w:eastAsia="黑体" w:cs="黑体"/>
          <w:spacing w:val="-1"/>
          <w:sz w:val="28"/>
          <w:szCs w:val="28"/>
          <w:lang w:eastAsia="zh-CN"/>
        </w:rPr>
        <w:t>实验活动风险评估表</w:t>
      </w:r>
    </w:p>
    <w:p w14:paraId="370CF72E">
      <w:pPr>
        <w:spacing w:line="166" w:lineRule="exact"/>
        <w:rPr>
          <w:lang w:eastAsia="zh-CN"/>
        </w:rPr>
      </w:pPr>
    </w:p>
    <w:tbl>
      <w:tblPr>
        <w:tblStyle w:val="13"/>
        <w:tblW w:w="5226"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773"/>
        <w:gridCol w:w="1830"/>
        <w:gridCol w:w="528"/>
        <w:gridCol w:w="2085"/>
        <w:gridCol w:w="3178"/>
      </w:tblGrid>
      <w:tr w14:paraId="5CE49BB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7" w:hRule="atLeast"/>
        </w:trPr>
        <w:tc>
          <w:tcPr>
            <w:tcW w:w="5000" w:type="pct"/>
            <w:gridSpan w:val="5"/>
            <w:shd w:val="clear" w:color="auto" w:fill="D7D7D7" w:themeFill="background1" w:themeFillShade="D8"/>
            <w:vAlign w:val="center"/>
          </w:tcPr>
          <w:p w14:paraId="7B6E98B0">
            <w:pPr>
              <w:pStyle w:val="14"/>
              <w:spacing w:before="105" w:line="360" w:lineRule="auto"/>
              <w:ind w:left="3753" w:leftChars="0"/>
              <w:jc w:val="both"/>
              <w:rPr>
                <w:rFonts w:ascii="Times New Roman" w:hAnsi="Times New Roman" w:cs="Times New Roman"/>
                <w:spacing w:val="-2"/>
                <w:sz w:val="21"/>
                <w:szCs w:val="21"/>
                <w:lang w:eastAsia="zh-CN"/>
              </w:rPr>
            </w:pPr>
            <w:r>
              <w:rPr>
                <w:rFonts w:ascii="Times New Roman" w:hAnsi="Times New Roman" w:cs="Times New Roman"/>
                <w:b/>
                <w:bCs/>
                <w:spacing w:val="-3"/>
                <w:sz w:val="21"/>
                <w:szCs w:val="21"/>
              </w:rPr>
              <w:t>病原微生物</w:t>
            </w:r>
            <w:r>
              <w:rPr>
                <w:rFonts w:hint="eastAsia" w:ascii="Times New Roman" w:hAnsi="Times New Roman" w:cs="Times New Roman"/>
                <w:b/>
                <w:bCs/>
                <w:spacing w:val="-3"/>
                <w:sz w:val="21"/>
                <w:szCs w:val="21"/>
                <w:lang w:eastAsia="zh-CN"/>
              </w:rPr>
              <w:t>信息</w:t>
            </w:r>
          </w:p>
        </w:tc>
      </w:tr>
      <w:tr w14:paraId="6AF541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7" w:hRule="atLeast"/>
        </w:trPr>
        <w:tc>
          <w:tcPr>
            <w:tcW w:w="943" w:type="pct"/>
            <w:vAlign w:val="center"/>
          </w:tcPr>
          <w:p w14:paraId="4937689E">
            <w:pPr>
              <w:pStyle w:val="14"/>
              <w:spacing w:before="146" w:line="360" w:lineRule="auto"/>
              <w:jc w:val="center"/>
              <w:rPr>
                <w:rFonts w:ascii="Times New Roman" w:hAnsi="Times New Roman" w:cs="Times New Roman"/>
                <w:spacing w:val="-2"/>
                <w:sz w:val="21"/>
                <w:szCs w:val="21"/>
                <w:lang w:eastAsia="zh-CN"/>
              </w:rPr>
            </w:pPr>
            <w:r>
              <w:rPr>
                <w:rFonts w:ascii="Times New Roman" w:hAnsi="Times New Roman" w:cs="Times New Roman"/>
                <w:spacing w:val="-1"/>
                <w:sz w:val="21"/>
                <w:szCs w:val="21"/>
              </w:rPr>
              <w:t>病原微生物名称</w:t>
            </w:r>
          </w:p>
        </w:tc>
        <w:tc>
          <w:tcPr>
            <w:tcW w:w="1254" w:type="pct"/>
            <w:gridSpan w:val="2"/>
            <w:vAlign w:val="center"/>
          </w:tcPr>
          <w:p w14:paraId="6DB54FC2">
            <w:pPr>
              <w:pStyle w:val="14"/>
              <w:spacing w:before="145" w:line="360" w:lineRule="auto"/>
              <w:jc w:val="both"/>
              <w:rPr>
                <w:rFonts w:ascii="宋体" w:hAnsi="宋体" w:eastAsia="宋体" w:cs="宋体"/>
                <w:snapToGrid w:val="0"/>
                <w:color w:val="0000FF"/>
                <w:sz w:val="18"/>
                <w:szCs w:val="18"/>
                <w:lang w:val="en-US" w:eastAsia="zh-CN" w:bidi="ar-SA"/>
              </w:rPr>
            </w:pPr>
            <w:r>
              <w:rPr>
                <w:rFonts w:ascii="宋体" w:hAnsi="宋体" w:eastAsia="宋体" w:cs="宋体"/>
                <w:snapToGrid w:val="0"/>
                <w:color w:val="0000FF"/>
                <w:sz w:val="18"/>
                <w:szCs w:val="18"/>
                <w:lang w:val="en-US" w:eastAsia="zh-CN" w:bidi="ar-SA"/>
              </w:rPr>
              <w:t>中文名（英文名）</w:t>
            </w:r>
          </w:p>
        </w:tc>
        <w:tc>
          <w:tcPr>
            <w:tcW w:w="1109" w:type="pct"/>
            <w:vAlign w:val="center"/>
          </w:tcPr>
          <w:p w14:paraId="62FF8114">
            <w:pPr>
              <w:spacing w:line="360" w:lineRule="auto"/>
              <w:jc w:val="center"/>
              <w:rPr>
                <w:rFonts w:ascii="Times New Roman" w:hAnsi="Times New Roman" w:cs="Times New Roman"/>
                <w:spacing w:val="-2"/>
                <w:sz w:val="21"/>
                <w:szCs w:val="21"/>
                <w:lang w:eastAsia="zh-CN"/>
              </w:rPr>
            </w:pPr>
            <w:r>
              <w:rPr>
                <w:rFonts w:ascii="Times New Roman" w:hAnsi="Times New Roman" w:cs="Times New Roman"/>
                <w:spacing w:val="-2"/>
              </w:rPr>
              <w:t>危害程度分类</w:t>
            </w:r>
          </w:p>
        </w:tc>
        <w:tc>
          <w:tcPr>
            <w:tcW w:w="1691" w:type="pct"/>
            <w:vAlign w:val="center"/>
          </w:tcPr>
          <w:p w14:paraId="7F07D7F8">
            <w:pPr>
              <w:spacing w:line="360" w:lineRule="auto"/>
              <w:jc w:val="center"/>
              <w:rPr>
                <w:rFonts w:ascii="Times New Roman" w:hAnsi="Times New Roman" w:cs="Times New Roman"/>
                <w:spacing w:val="-2"/>
                <w:sz w:val="21"/>
                <w:szCs w:val="21"/>
                <w:lang w:eastAsia="zh-CN"/>
              </w:rPr>
            </w:pPr>
            <w:r>
              <w:rPr>
                <w:rFonts w:hint="eastAsia" w:ascii="Times New Roman" w:hAnsi="Times New Roman" w:eastAsia="宋体" w:cs="Times New Roman"/>
                <w:spacing w:val="-2"/>
                <w:lang w:eastAsia="zh-CN"/>
              </w:rPr>
              <w:t>□</w:t>
            </w:r>
            <w:r>
              <w:rPr>
                <w:rFonts w:ascii="Times New Roman" w:hAnsi="Times New Roman" w:eastAsia="宋体" w:cs="Times New Roman"/>
                <w:spacing w:val="-2"/>
              </w:rPr>
              <w:t>三类；</w:t>
            </w:r>
            <w:r>
              <w:rPr>
                <w:rFonts w:hint="eastAsia" w:ascii="Times New Roman" w:hAnsi="Times New Roman" w:eastAsia="宋体" w:cs="Times New Roman"/>
                <w:spacing w:val="-2"/>
                <w:lang w:eastAsia="zh-CN"/>
              </w:rPr>
              <w:t>□</w:t>
            </w:r>
            <w:r>
              <w:rPr>
                <w:rFonts w:ascii="Times New Roman" w:hAnsi="Times New Roman" w:eastAsia="宋体" w:cs="Times New Roman"/>
                <w:spacing w:val="-2"/>
              </w:rPr>
              <w:t>四类</w:t>
            </w:r>
          </w:p>
        </w:tc>
      </w:tr>
      <w:tr w14:paraId="2A8393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7" w:hRule="atLeast"/>
        </w:trPr>
        <w:tc>
          <w:tcPr>
            <w:tcW w:w="943" w:type="pct"/>
            <w:vAlign w:val="center"/>
          </w:tcPr>
          <w:p w14:paraId="5DCC6DCD">
            <w:pPr>
              <w:pStyle w:val="14"/>
              <w:spacing w:before="146" w:line="360" w:lineRule="auto"/>
              <w:jc w:val="center"/>
              <w:rPr>
                <w:rFonts w:ascii="Times New Roman" w:hAnsi="Times New Roman" w:cs="Times New Roman"/>
                <w:spacing w:val="-2"/>
                <w:sz w:val="21"/>
                <w:szCs w:val="21"/>
                <w:lang w:eastAsia="zh-CN"/>
              </w:rPr>
            </w:pPr>
            <w:r>
              <w:rPr>
                <w:rFonts w:ascii="Times New Roman" w:hAnsi="Times New Roman" w:cs="Times New Roman"/>
                <w:spacing w:val="-1"/>
                <w:sz w:val="21"/>
                <w:szCs w:val="21"/>
                <w:lang w:eastAsia="zh-CN"/>
              </w:rPr>
              <w:t>感染宿主</w:t>
            </w:r>
          </w:p>
        </w:tc>
        <w:tc>
          <w:tcPr>
            <w:tcW w:w="1254" w:type="pct"/>
            <w:gridSpan w:val="2"/>
            <w:vAlign w:val="center"/>
          </w:tcPr>
          <w:p w14:paraId="069D3D99">
            <w:pPr>
              <w:pStyle w:val="14"/>
              <w:spacing w:before="145" w:line="360" w:lineRule="auto"/>
              <w:jc w:val="both"/>
              <w:rPr>
                <w:rFonts w:ascii="宋体" w:hAnsi="宋体" w:eastAsia="宋体" w:cs="宋体"/>
                <w:snapToGrid w:val="0"/>
                <w:color w:val="0000FF"/>
                <w:sz w:val="18"/>
                <w:szCs w:val="18"/>
                <w:lang w:val="en-US" w:eastAsia="zh-CN" w:bidi="ar-SA"/>
              </w:rPr>
            </w:pPr>
            <w:r>
              <w:rPr>
                <w:rFonts w:ascii="宋体" w:hAnsi="宋体" w:eastAsia="宋体" w:cs="宋体"/>
                <w:snapToGrid w:val="0"/>
                <w:color w:val="0000FF"/>
                <w:sz w:val="18"/>
                <w:szCs w:val="18"/>
                <w:lang w:val="en-US" w:eastAsia="zh-CN" w:bidi="ar-SA"/>
              </w:rPr>
              <w:t>大小鼠、人、牛、马、猪、羊</w:t>
            </w:r>
          </w:p>
        </w:tc>
        <w:tc>
          <w:tcPr>
            <w:tcW w:w="1109" w:type="pct"/>
            <w:vAlign w:val="center"/>
          </w:tcPr>
          <w:p w14:paraId="58C205A3">
            <w:pPr>
              <w:spacing w:line="360" w:lineRule="auto"/>
              <w:jc w:val="center"/>
              <w:rPr>
                <w:rFonts w:hint="default" w:ascii="Times New Roman" w:hAnsi="Times New Roman" w:eastAsia="宋体" w:cs="Times New Roman"/>
                <w:spacing w:val="-2"/>
                <w:sz w:val="21"/>
                <w:szCs w:val="21"/>
                <w:lang w:val="en-US" w:eastAsia="zh-CN"/>
              </w:rPr>
            </w:pPr>
            <w:r>
              <w:rPr>
                <w:rFonts w:hint="eastAsia" w:ascii="Times New Roman" w:hAnsi="Times New Roman" w:eastAsia="宋体" w:cs="Times New Roman"/>
                <w:spacing w:val="-2"/>
                <w:lang w:val="en-US" w:eastAsia="zh-CN"/>
              </w:rPr>
              <w:t>病原微生物来源</w:t>
            </w:r>
          </w:p>
        </w:tc>
        <w:tc>
          <w:tcPr>
            <w:tcW w:w="1691" w:type="pct"/>
            <w:vAlign w:val="center"/>
          </w:tcPr>
          <w:p w14:paraId="0B066531">
            <w:pPr>
              <w:spacing w:line="360" w:lineRule="auto"/>
              <w:jc w:val="center"/>
              <w:rPr>
                <w:rFonts w:hint="eastAsia" w:ascii="Times New Roman" w:hAnsi="Times New Roman" w:eastAsia="宋体" w:cs="Times New Roman"/>
                <w:spacing w:val="-2"/>
                <w:lang w:eastAsia="zh-CN"/>
              </w:rPr>
            </w:pPr>
            <w:r>
              <w:rPr>
                <w:rFonts w:hint="eastAsia" w:ascii="Times New Roman" w:hAnsi="Times New Roman" w:eastAsia="宋体" w:cs="Times New Roman"/>
                <w:spacing w:val="-2"/>
                <w:lang w:eastAsia="zh-CN"/>
              </w:rPr>
              <w:t>□《动物病原微生物目录》</w:t>
            </w:r>
          </w:p>
          <w:p w14:paraId="265F210C">
            <w:pPr>
              <w:spacing w:line="360" w:lineRule="auto"/>
              <w:jc w:val="center"/>
              <w:rPr>
                <w:rFonts w:hint="eastAsia" w:ascii="Times New Roman" w:hAnsi="Times New Roman" w:eastAsia="宋体" w:cs="Times New Roman"/>
                <w:spacing w:val="-2"/>
                <w:sz w:val="21"/>
                <w:szCs w:val="21"/>
                <w:lang w:eastAsia="zh-CN"/>
              </w:rPr>
            </w:pPr>
            <w:r>
              <w:rPr>
                <w:rFonts w:hint="eastAsia" w:ascii="Times New Roman" w:hAnsi="Times New Roman" w:eastAsia="宋体" w:cs="Times New Roman"/>
                <w:spacing w:val="-2"/>
                <w:lang w:eastAsia="zh-CN"/>
              </w:rPr>
              <w:t>□《</w:t>
            </w:r>
            <w:r>
              <w:rPr>
                <w:rFonts w:hint="eastAsia" w:ascii="Times New Roman" w:hAnsi="Times New Roman" w:eastAsia="宋体" w:cs="Times New Roman"/>
                <w:spacing w:val="-2"/>
                <w:lang w:val="en-US" w:eastAsia="zh-CN"/>
              </w:rPr>
              <w:t>人间传染的病原微生物目录</w:t>
            </w:r>
            <w:r>
              <w:rPr>
                <w:rFonts w:hint="eastAsia" w:ascii="Times New Roman" w:hAnsi="Times New Roman" w:eastAsia="宋体" w:cs="Times New Roman"/>
                <w:spacing w:val="-2"/>
                <w:lang w:eastAsia="zh-CN"/>
              </w:rPr>
              <w:t>》</w:t>
            </w:r>
          </w:p>
        </w:tc>
      </w:tr>
      <w:tr w14:paraId="468E6CF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7" w:hRule="atLeast"/>
        </w:trPr>
        <w:tc>
          <w:tcPr>
            <w:tcW w:w="943" w:type="pct"/>
            <w:vAlign w:val="center"/>
          </w:tcPr>
          <w:p w14:paraId="14B468C0">
            <w:pPr>
              <w:pStyle w:val="14"/>
              <w:spacing w:before="146" w:line="360" w:lineRule="auto"/>
              <w:jc w:val="center"/>
              <w:rPr>
                <w:rFonts w:ascii="Times New Roman" w:hAnsi="Times New Roman" w:cs="Times New Roman"/>
                <w:b/>
                <w:bCs/>
                <w:spacing w:val="-2"/>
                <w:sz w:val="21"/>
                <w:szCs w:val="21"/>
                <w:lang w:eastAsia="zh-CN"/>
              </w:rPr>
            </w:pPr>
            <w:r>
              <w:rPr>
                <w:rFonts w:ascii="Times New Roman" w:hAnsi="Times New Roman" w:cs="Times New Roman"/>
                <w:spacing w:val="-2"/>
                <w:sz w:val="21"/>
                <w:szCs w:val="21"/>
              </w:rPr>
              <w:t>传播途径</w:t>
            </w:r>
          </w:p>
        </w:tc>
        <w:tc>
          <w:tcPr>
            <w:tcW w:w="1254" w:type="pct"/>
            <w:gridSpan w:val="2"/>
            <w:vAlign w:val="center"/>
          </w:tcPr>
          <w:p w14:paraId="68233C34">
            <w:pPr>
              <w:spacing w:line="360" w:lineRule="auto"/>
              <w:jc w:val="center"/>
              <w:rPr>
                <w:rFonts w:ascii="Times New Roman" w:hAnsi="Times New Roman" w:cs="Times New Roman"/>
                <w:b/>
                <w:bCs/>
                <w:spacing w:val="-2"/>
                <w:sz w:val="21"/>
                <w:szCs w:val="21"/>
                <w:lang w:eastAsia="zh-CN"/>
              </w:rPr>
            </w:pPr>
            <w:r>
              <w:rPr>
                <w:rFonts w:hint="eastAsia" w:ascii="Times New Roman" w:hAnsi="Times New Roman" w:cs="Times New Roman"/>
                <w:spacing w:val="-1"/>
                <w:lang w:eastAsia="zh-CN"/>
              </w:rPr>
              <w:t>□</w:t>
            </w:r>
            <w:r>
              <w:rPr>
                <w:rFonts w:ascii="Times New Roman" w:hAnsi="Times New Roman" w:cs="Times New Roman"/>
                <w:spacing w:val="-2"/>
                <w:lang w:eastAsia="zh-CN"/>
              </w:rPr>
              <w:t xml:space="preserve">呼吸道  </w:t>
            </w:r>
            <w:r>
              <w:rPr>
                <w:rFonts w:ascii="Times New Roman" w:hAnsi="Times New Roman" w:cs="Times New Roman"/>
                <w:spacing w:val="-1"/>
                <w:lang w:eastAsia="zh-CN"/>
              </w:rPr>
              <w:t>□</w:t>
            </w:r>
            <w:r>
              <w:rPr>
                <w:rFonts w:ascii="Times New Roman" w:hAnsi="Times New Roman" w:cs="Times New Roman"/>
                <w:spacing w:val="-2"/>
                <w:lang w:eastAsia="zh-CN"/>
              </w:rPr>
              <w:t>消化道</w:t>
            </w:r>
            <w:r>
              <w:rPr>
                <w:rFonts w:ascii="Times New Roman" w:hAnsi="Times New Roman" w:cs="Times New Roman"/>
                <w:spacing w:val="2"/>
                <w:lang w:eastAsia="zh-CN"/>
              </w:rPr>
              <w:t xml:space="preserve">  </w:t>
            </w:r>
            <w:r>
              <w:rPr>
                <w:rFonts w:ascii="Times New Roman" w:hAnsi="Times New Roman" w:cs="Times New Roman"/>
                <w:spacing w:val="-1"/>
                <w:lang w:eastAsia="zh-CN"/>
              </w:rPr>
              <w:t>□</w:t>
            </w:r>
            <w:r>
              <w:rPr>
                <w:rFonts w:ascii="Times New Roman" w:hAnsi="Times New Roman" w:cs="Times New Roman"/>
                <w:spacing w:val="-2"/>
                <w:lang w:eastAsia="zh-CN"/>
              </w:rPr>
              <w:t xml:space="preserve">血液  </w:t>
            </w:r>
            <w:r>
              <w:rPr>
                <w:rFonts w:ascii="Times New Roman" w:hAnsi="Times New Roman" w:cs="Times New Roman"/>
                <w:spacing w:val="-1"/>
                <w:lang w:eastAsia="zh-CN"/>
              </w:rPr>
              <w:t>□</w:t>
            </w:r>
            <w:r>
              <w:rPr>
                <w:rFonts w:ascii="Times New Roman" w:hAnsi="Times New Roman" w:cs="Times New Roman"/>
                <w:spacing w:val="-2"/>
                <w:lang w:eastAsia="zh-CN"/>
              </w:rPr>
              <w:t xml:space="preserve">媒介  </w:t>
            </w:r>
            <w:r>
              <w:rPr>
                <w:rFonts w:ascii="Times New Roman" w:hAnsi="Times New Roman" w:cs="Times New Roman"/>
                <w:spacing w:val="-1"/>
                <w:lang w:eastAsia="zh-CN"/>
              </w:rPr>
              <w:t>□</w:t>
            </w:r>
            <w:r>
              <w:rPr>
                <w:rFonts w:ascii="Times New Roman" w:hAnsi="Times New Roman" w:cs="Times New Roman"/>
                <w:spacing w:val="-2"/>
                <w:lang w:eastAsia="zh-CN"/>
              </w:rPr>
              <w:t xml:space="preserve">接触  </w:t>
            </w:r>
            <w:r>
              <w:rPr>
                <w:rFonts w:ascii="Times New Roman" w:hAnsi="Times New Roman" w:cs="Times New Roman"/>
                <w:spacing w:val="-1"/>
                <w:lang w:eastAsia="zh-CN"/>
              </w:rPr>
              <w:t>□</w:t>
            </w:r>
            <w:r>
              <w:rPr>
                <w:rFonts w:ascii="Times New Roman" w:hAnsi="Times New Roman" w:cs="Times New Roman"/>
                <w:spacing w:val="-2"/>
                <w:lang w:eastAsia="zh-CN"/>
              </w:rPr>
              <w:t xml:space="preserve">母婴传播  </w:t>
            </w:r>
            <w:r>
              <w:rPr>
                <w:rFonts w:ascii="Times New Roman" w:hAnsi="Times New Roman" w:cs="Times New Roman"/>
                <w:spacing w:val="-1"/>
                <w:lang w:eastAsia="zh-CN"/>
              </w:rPr>
              <w:t>□</w:t>
            </w:r>
            <w:r>
              <w:rPr>
                <w:rFonts w:ascii="Times New Roman" w:hAnsi="Times New Roman" w:cs="Times New Roman"/>
                <w:spacing w:val="-2"/>
                <w:lang w:eastAsia="zh-CN"/>
              </w:rPr>
              <w:t>性传播</w:t>
            </w:r>
          </w:p>
        </w:tc>
        <w:tc>
          <w:tcPr>
            <w:tcW w:w="1109" w:type="pct"/>
            <w:vAlign w:val="center"/>
          </w:tcPr>
          <w:p w14:paraId="2AC98869">
            <w:pPr>
              <w:spacing w:line="360" w:lineRule="auto"/>
              <w:jc w:val="center"/>
              <w:rPr>
                <w:rFonts w:ascii="Times New Roman" w:hAnsi="Times New Roman" w:cs="Times New Roman"/>
                <w:b/>
                <w:bCs/>
                <w:spacing w:val="-2"/>
                <w:sz w:val="21"/>
                <w:szCs w:val="21"/>
                <w:lang w:eastAsia="zh-CN"/>
              </w:rPr>
            </w:pPr>
            <w:r>
              <w:rPr>
                <w:rFonts w:hint="eastAsia" w:ascii="Times New Roman" w:hAnsi="Times New Roman" w:cs="Times New Roman"/>
                <w:spacing w:val="-2"/>
                <w:lang w:eastAsia="zh-CN"/>
              </w:rPr>
              <w:t>涉及遗传修饰生物体 （GMOs）</w:t>
            </w:r>
          </w:p>
        </w:tc>
        <w:tc>
          <w:tcPr>
            <w:tcW w:w="1691" w:type="pct"/>
            <w:vAlign w:val="center"/>
          </w:tcPr>
          <w:p w14:paraId="4C828754">
            <w:pPr>
              <w:spacing w:line="360" w:lineRule="auto"/>
              <w:jc w:val="center"/>
              <w:rPr>
                <w:rFonts w:ascii="Times New Roman" w:hAnsi="Times New Roman" w:cs="Times New Roman"/>
                <w:b/>
                <w:bCs/>
                <w:spacing w:val="-2"/>
                <w:sz w:val="21"/>
                <w:szCs w:val="21"/>
                <w:lang w:eastAsia="zh-CN"/>
              </w:rPr>
            </w:pPr>
            <w:r>
              <w:rPr>
                <w:rFonts w:hint="eastAsia" w:ascii="Times New Roman" w:hAnsi="Times New Roman" w:eastAsia="宋体" w:cs="Times New Roman"/>
                <w:spacing w:val="-2"/>
                <w:lang w:eastAsia="zh-CN"/>
              </w:rPr>
              <w:t>□</w:t>
            </w:r>
            <w:r>
              <w:rPr>
                <w:rFonts w:ascii="Times New Roman" w:hAnsi="Times New Roman" w:eastAsia="宋体" w:cs="Times New Roman"/>
                <w:spacing w:val="-2"/>
              </w:rPr>
              <w:t xml:space="preserve">是     </w:t>
            </w:r>
            <w:r>
              <w:rPr>
                <w:rFonts w:hint="eastAsia" w:ascii="Times New Roman" w:hAnsi="Times New Roman" w:eastAsia="宋体" w:cs="Times New Roman"/>
                <w:spacing w:val="-2"/>
                <w:lang w:eastAsia="zh-CN"/>
              </w:rPr>
              <w:t>□</w:t>
            </w:r>
            <w:r>
              <w:rPr>
                <w:rFonts w:ascii="Times New Roman" w:hAnsi="Times New Roman" w:eastAsia="宋体" w:cs="Times New Roman"/>
                <w:spacing w:val="-2"/>
              </w:rPr>
              <w:t>否</w:t>
            </w:r>
          </w:p>
        </w:tc>
      </w:tr>
      <w:tr w14:paraId="7EB619A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464" w:hRule="atLeast"/>
        </w:trPr>
        <w:tc>
          <w:tcPr>
            <w:tcW w:w="943" w:type="pct"/>
            <w:vAlign w:val="center"/>
          </w:tcPr>
          <w:p w14:paraId="7802CE49">
            <w:pPr>
              <w:pStyle w:val="14"/>
              <w:spacing w:before="146" w:line="360" w:lineRule="auto"/>
              <w:jc w:val="center"/>
              <w:rPr>
                <w:rFonts w:ascii="Times New Roman" w:hAnsi="Times New Roman" w:cs="Times New Roman"/>
                <w:spacing w:val="-2"/>
                <w:sz w:val="21"/>
                <w:szCs w:val="21"/>
                <w:lang w:eastAsia="zh-CN"/>
              </w:rPr>
            </w:pPr>
            <w:r>
              <w:rPr>
                <w:rFonts w:ascii="Times New Roman" w:hAnsi="Times New Roman" w:cs="Times New Roman"/>
                <w:spacing w:val="-1"/>
                <w:sz w:val="21"/>
                <w:szCs w:val="21"/>
              </w:rPr>
              <w:t>病原微生物</w:t>
            </w:r>
            <w:r>
              <w:rPr>
                <w:rFonts w:hint="eastAsia" w:ascii="Times New Roman" w:hAnsi="Times New Roman" w:cs="Times New Roman"/>
                <w:spacing w:val="-1"/>
                <w:sz w:val="21"/>
                <w:szCs w:val="21"/>
                <w:lang w:eastAsia="zh-CN"/>
              </w:rPr>
              <w:t>简介</w:t>
            </w:r>
          </w:p>
        </w:tc>
        <w:tc>
          <w:tcPr>
            <w:tcW w:w="4056" w:type="pct"/>
            <w:gridSpan w:val="4"/>
            <w:vAlign w:val="center"/>
          </w:tcPr>
          <w:p w14:paraId="1EB0C659">
            <w:pPr>
              <w:pStyle w:val="14"/>
              <w:spacing w:before="145" w:line="360" w:lineRule="auto"/>
              <w:jc w:val="both"/>
              <w:rPr>
                <w:rFonts w:ascii="Times New Roman" w:hAnsi="Times New Roman" w:cs="Times New Roman"/>
                <w:spacing w:val="-2"/>
                <w:sz w:val="21"/>
                <w:szCs w:val="21"/>
                <w:lang w:eastAsia="zh-CN"/>
              </w:rPr>
            </w:pPr>
            <w:r>
              <w:rPr>
                <w:rFonts w:ascii="宋体" w:hAnsi="宋体" w:eastAsia="宋体" w:cs="宋体"/>
                <w:snapToGrid w:val="0"/>
                <w:color w:val="0000FF"/>
                <w:sz w:val="18"/>
                <w:szCs w:val="18"/>
                <w:lang w:val="en-US" w:eastAsia="zh-CN" w:bidi="ar-SA"/>
              </w:rPr>
              <w:t>铜绿假单胞菌（Pseudomonas aeruginosa）是一种广泛存在于自然环境（如水、土壤）中的革兰 氏阴性杆菌，呈长棒形的细菌，只有单向的运动性，常见的分型有。它是一种机会性感染细菌， 且对植物亦是机会性感染的，感染后因脓汁和渗出液等病料呈绿色。该菌以环境适应力极强著称 ，可在微量营养甚至消毒剂中存活，并易形成生物膜，从而抵抗多种抗生素和消毒措施。为需氧 菌，在普通培养基上易于生长，培养适宜温度为35度，PH值为7.2。</w:t>
            </w:r>
          </w:p>
        </w:tc>
      </w:tr>
      <w:tr w14:paraId="73A094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124" w:hRule="atLeast"/>
        </w:trPr>
        <w:tc>
          <w:tcPr>
            <w:tcW w:w="943" w:type="pct"/>
            <w:vAlign w:val="center"/>
          </w:tcPr>
          <w:p w14:paraId="6F3FCA1D">
            <w:pPr>
              <w:pStyle w:val="14"/>
              <w:spacing w:before="146" w:line="360" w:lineRule="auto"/>
              <w:jc w:val="center"/>
              <w:rPr>
                <w:rFonts w:ascii="Times New Roman" w:hAnsi="Times New Roman" w:cs="Times New Roman"/>
                <w:spacing w:val="-2"/>
                <w:sz w:val="21"/>
                <w:szCs w:val="21"/>
                <w:lang w:eastAsia="zh-CN"/>
              </w:rPr>
            </w:pPr>
            <w:r>
              <w:rPr>
                <w:rFonts w:hint="eastAsia" w:ascii="Times New Roman" w:hAnsi="Times New Roman" w:cs="Times New Roman"/>
                <w:spacing w:val="-1"/>
                <w:sz w:val="21"/>
                <w:szCs w:val="21"/>
                <w:lang w:eastAsia="zh-CN"/>
              </w:rPr>
              <w:t>流行病学特征</w:t>
            </w:r>
          </w:p>
        </w:tc>
        <w:tc>
          <w:tcPr>
            <w:tcW w:w="4056" w:type="pct"/>
            <w:gridSpan w:val="4"/>
            <w:vAlign w:val="center"/>
          </w:tcPr>
          <w:p w14:paraId="66907D4B">
            <w:pPr>
              <w:pStyle w:val="14"/>
              <w:spacing w:before="145" w:line="360" w:lineRule="auto"/>
              <w:jc w:val="both"/>
              <w:rPr>
                <w:rFonts w:ascii="宋体" w:hAnsi="宋体" w:eastAsia="宋体" w:cs="宋体"/>
                <w:snapToGrid w:val="0"/>
                <w:color w:val="0000FF"/>
                <w:sz w:val="18"/>
                <w:szCs w:val="18"/>
                <w:lang w:val="en-US" w:eastAsia="zh-CN" w:bidi="ar-SA"/>
              </w:rPr>
            </w:pPr>
            <w:r>
              <w:rPr>
                <w:rFonts w:ascii="宋体" w:hAnsi="宋体" w:eastAsia="宋体" w:cs="宋体"/>
                <w:snapToGrid w:val="0"/>
                <w:color w:val="0000FF"/>
                <w:sz w:val="18"/>
                <w:szCs w:val="18"/>
                <w:lang w:val="en-US" w:eastAsia="zh-CN" w:bidi="ar-SA"/>
              </w:rPr>
              <w:t>铜绿假单胞菌的流行病学特征集中表现为一种典型的医院内机会性感染模式：其传染源主要来自 被污染的医院环境（如水源、潮湿表面及医疗设备），通过接触或气溶胶传播；易感人群高度集 中于免疫缺陷者、重症患者、有器械植入（如呼吸机、导管）或结构性肺病（如囊性纤维化）的 个体，使其成为呼吸机相关性肺炎和ICU血流感染的主要病原之一；更严峻的是，该菌凭借强大 第 4 页 共 5 页 的环境生存能力、生物膜形成及内在耐药性，催生了多重耐药菌株的克隆传播，导致其在院内感 染中发病率较高。</w:t>
            </w:r>
          </w:p>
        </w:tc>
      </w:tr>
      <w:tr w14:paraId="2CC495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03" w:hRule="atLeast"/>
        </w:trPr>
        <w:tc>
          <w:tcPr>
            <w:tcW w:w="943" w:type="pct"/>
            <w:vAlign w:val="center"/>
          </w:tcPr>
          <w:p w14:paraId="46A741B9">
            <w:pPr>
              <w:pStyle w:val="14"/>
              <w:spacing w:before="146" w:line="360" w:lineRule="auto"/>
              <w:jc w:val="center"/>
              <w:rPr>
                <w:rFonts w:ascii="Times New Roman" w:hAnsi="Times New Roman" w:cs="Times New Roman"/>
                <w:spacing w:val="-2"/>
                <w:sz w:val="21"/>
                <w:szCs w:val="21"/>
                <w:lang w:eastAsia="zh-CN"/>
              </w:rPr>
            </w:pPr>
            <w:r>
              <w:rPr>
                <w:rFonts w:hint="eastAsia" w:ascii="Times New Roman" w:hAnsi="Times New Roman" w:cs="Times New Roman"/>
                <w:spacing w:val="-2"/>
                <w:sz w:val="21"/>
                <w:szCs w:val="21"/>
                <w:lang w:eastAsia="zh-CN"/>
              </w:rPr>
              <w:t>人</w:t>
            </w:r>
            <w:r>
              <w:rPr>
                <w:rFonts w:ascii="Times New Roman" w:hAnsi="Times New Roman" w:cs="Times New Roman"/>
                <w:spacing w:val="-2"/>
                <w:sz w:val="21"/>
                <w:szCs w:val="21"/>
                <w:lang w:eastAsia="zh-CN"/>
              </w:rPr>
              <w:t>感染后的主要临床表现</w:t>
            </w:r>
          </w:p>
        </w:tc>
        <w:tc>
          <w:tcPr>
            <w:tcW w:w="4056" w:type="pct"/>
            <w:gridSpan w:val="4"/>
            <w:vAlign w:val="center"/>
          </w:tcPr>
          <w:p w14:paraId="22A98253">
            <w:pPr>
              <w:pStyle w:val="14"/>
              <w:spacing w:before="145" w:line="360" w:lineRule="auto"/>
              <w:jc w:val="both"/>
              <w:rPr>
                <w:rFonts w:ascii="宋体" w:hAnsi="宋体" w:eastAsia="宋体" w:cs="宋体"/>
                <w:snapToGrid w:val="0"/>
                <w:color w:val="0000FF"/>
                <w:sz w:val="18"/>
                <w:szCs w:val="18"/>
                <w:lang w:val="en-US" w:eastAsia="zh-CN" w:bidi="ar-SA"/>
              </w:rPr>
            </w:pPr>
            <w:r>
              <w:rPr>
                <w:rFonts w:ascii="宋体" w:hAnsi="宋体" w:eastAsia="宋体" w:cs="宋体"/>
                <w:snapToGrid w:val="0"/>
                <w:color w:val="0000FF"/>
                <w:sz w:val="18"/>
                <w:szCs w:val="18"/>
                <w:lang w:val="en-US" w:eastAsia="zh-CN" w:bidi="ar-SA"/>
              </w:rPr>
              <w:t>铜绿假单胞菌是医院内常见的条件致病菌，主要威胁免疫力低下或有严重基础疾病的患者，其感 染临床症状凶险且极具特征性：在肺部可引起突发高热、呼吸困难并咳出大量黄绿色脓痰的急重 肺炎；若入侵血液则导致寒战、休克及精神意识改变的致命性败血症；于皮肤创面或烧伤部位形 成弥漫蓝绿色脓液并散发特殊水果气味的顽固感染，常伴有组织坏死；此外，它还可引发排尿灼 痛的血性尿道感染、糖尿病患者中易侵袭颅骨的恶性耳道炎症，以及因角膜溃疡而迅速损害视力 的眼部感染。该菌以其高耐药性和快速进展的破坏力，成为临床尤其需要警惕的致病菌。</w:t>
            </w:r>
          </w:p>
        </w:tc>
      </w:tr>
      <w:tr w14:paraId="3C68F2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213" w:hRule="atLeast"/>
        </w:trPr>
        <w:tc>
          <w:tcPr>
            <w:tcW w:w="943" w:type="pct"/>
            <w:vAlign w:val="center"/>
          </w:tcPr>
          <w:p w14:paraId="7963008B">
            <w:pPr>
              <w:pStyle w:val="14"/>
              <w:spacing w:before="146" w:line="360" w:lineRule="auto"/>
              <w:jc w:val="center"/>
              <w:rPr>
                <w:rFonts w:ascii="Times New Roman" w:hAnsi="Times New Roman" w:cs="Times New Roman"/>
                <w:spacing w:val="-2"/>
                <w:sz w:val="21"/>
                <w:szCs w:val="21"/>
                <w:lang w:eastAsia="zh-CN"/>
              </w:rPr>
            </w:pPr>
            <w:r>
              <w:rPr>
                <w:rStyle w:val="15"/>
                <w:rFonts w:hint="default" w:ascii="Times New Roman" w:hAnsi="Times New Roman" w:cs="Times New Roman"/>
                <w:lang w:eastAsia="zh-CN" w:bidi="ar"/>
              </w:rPr>
              <w:t>对人的致病性、发病率和死亡率</w:t>
            </w:r>
          </w:p>
        </w:tc>
        <w:tc>
          <w:tcPr>
            <w:tcW w:w="4056" w:type="pct"/>
            <w:gridSpan w:val="4"/>
            <w:vAlign w:val="center"/>
          </w:tcPr>
          <w:p w14:paraId="50ED9726">
            <w:pPr>
              <w:pStyle w:val="14"/>
              <w:spacing w:before="145" w:line="360" w:lineRule="auto"/>
              <w:jc w:val="both"/>
              <w:rPr>
                <w:rFonts w:ascii="Times New Roman" w:hAnsi="Times New Roman" w:cs="Times New Roman"/>
                <w:spacing w:val="-2"/>
                <w:sz w:val="21"/>
                <w:szCs w:val="21"/>
                <w:lang w:eastAsia="zh-CN"/>
              </w:rPr>
            </w:pPr>
            <w:r>
              <w:rPr>
                <w:rFonts w:ascii="宋体" w:hAnsi="宋体" w:eastAsia="宋体" w:cs="宋体"/>
                <w:snapToGrid w:val="0"/>
                <w:color w:val="0000FF"/>
                <w:sz w:val="18"/>
                <w:szCs w:val="18"/>
                <w:lang w:val="en-US" w:eastAsia="zh-CN" w:bidi="ar-SA"/>
              </w:rPr>
              <w:t>铜绿假单胞菌在医院感染中占有显著地位，尤其在呼吸机相关性肺炎（VAP）中占比可达10%-20% ，是院内革兰氏阴性菌感染的主要病原之一。一旦引发血流感染或肺炎，其病情进展迅猛，死亡 率极高——菌血症相关死亡率达30%-50%，而由其引起的呼吸机相关性肺炎死亡率更可高达40%- 70%，若菌株为多重耐药则预后更差，使之成为临床感染防控与治疗的重大挑战。</w:t>
            </w:r>
          </w:p>
        </w:tc>
      </w:tr>
      <w:tr w14:paraId="4217C55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7" w:hRule="atLeast"/>
        </w:trPr>
        <w:tc>
          <w:tcPr>
            <w:tcW w:w="943" w:type="pct"/>
            <w:vMerge w:val="restart"/>
            <w:vAlign w:val="center"/>
          </w:tcPr>
          <w:p w14:paraId="1A95B626">
            <w:pPr>
              <w:pStyle w:val="14"/>
              <w:spacing w:before="144" w:line="360" w:lineRule="auto"/>
              <w:jc w:val="center"/>
              <w:rPr>
                <w:rFonts w:ascii="Times New Roman" w:hAnsi="Times New Roman" w:cs="Times New Roman"/>
                <w:spacing w:val="-2"/>
                <w:sz w:val="21"/>
                <w:szCs w:val="21"/>
                <w:lang w:eastAsia="zh-CN"/>
              </w:rPr>
            </w:pPr>
            <w:r>
              <w:rPr>
                <w:rFonts w:ascii="Times New Roman" w:hAnsi="Times New Roman" w:cs="Times New Roman"/>
                <w:spacing w:val="-2"/>
                <w:sz w:val="21"/>
                <w:szCs w:val="21"/>
              </w:rPr>
              <w:t>预防和治疗措施</w:t>
            </w:r>
          </w:p>
        </w:tc>
        <w:tc>
          <w:tcPr>
            <w:tcW w:w="4056" w:type="pct"/>
            <w:gridSpan w:val="4"/>
            <w:vAlign w:val="center"/>
          </w:tcPr>
          <w:p w14:paraId="725C6895">
            <w:pPr>
              <w:pStyle w:val="14"/>
              <w:spacing w:before="145" w:line="360" w:lineRule="auto"/>
              <w:ind w:left="113"/>
              <w:jc w:val="both"/>
              <w:rPr>
                <w:rFonts w:ascii="Times New Roman" w:hAnsi="Times New Roman" w:cs="Times New Roman"/>
                <w:spacing w:val="-1"/>
                <w:sz w:val="21"/>
                <w:szCs w:val="21"/>
                <w:u w:val="single"/>
                <w:lang w:eastAsia="zh-CN"/>
              </w:rPr>
            </w:pPr>
            <w:r>
              <w:rPr>
                <w:rFonts w:hint="eastAsia" w:ascii="Times New Roman" w:hAnsi="Times New Roman" w:cs="Times New Roman"/>
                <w:spacing w:val="-1"/>
                <w:sz w:val="21"/>
                <w:szCs w:val="21"/>
                <w:lang w:eastAsia="zh-CN"/>
              </w:rPr>
              <w:t>☑</w:t>
            </w:r>
            <w:r>
              <w:rPr>
                <w:rFonts w:ascii="Times New Roman" w:hAnsi="Times New Roman" w:cs="Times New Roman"/>
                <w:spacing w:val="-1"/>
                <w:sz w:val="21"/>
                <w:szCs w:val="21"/>
                <w:lang w:eastAsia="zh-CN"/>
              </w:rPr>
              <w:t>治疗药物</w:t>
            </w:r>
            <w:r>
              <w:rPr>
                <w:rFonts w:ascii="Times New Roman" w:hAnsi="Times New Roman" w:cs="Times New Roman"/>
                <w:spacing w:val="-1"/>
                <w:sz w:val="21"/>
                <w:szCs w:val="21"/>
                <w:u w:val="single"/>
                <w:lang w:eastAsia="zh-CN"/>
              </w:rPr>
              <w:t xml:space="preserve">      </w:t>
            </w:r>
            <w:r>
              <w:rPr>
                <w:rFonts w:ascii="宋体" w:hAnsi="宋体" w:eastAsia="宋体" w:cs="宋体"/>
                <w:snapToGrid w:val="0"/>
                <w:color w:val="0000FF"/>
                <w:sz w:val="18"/>
                <w:szCs w:val="18"/>
                <w:u w:val="single"/>
                <w:lang w:val="en-US" w:eastAsia="zh-CN" w:bidi="ar-SA"/>
              </w:rPr>
              <w:t>抗假单胞菌β-内酰胺类联合氨基糖苷类或氟喹诺酮类药物等</w:t>
            </w:r>
            <w:r>
              <w:rPr>
                <w:rFonts w:hint="eastAsia" w:ascii="Times New Roman" w:hAnsi="Times New Roman" w:cs="Times New Roman"/>
                <w:spacing w:val="-1"/>
                <w:sz w:val="21"/>
                <w:szCs w:val="21"/>
                <w:u w:val="single"/>
                <w:lang w:eastAsia="zh-CN"/>
              </w:rPr>
              <w:t xml:space="preserve">              </w:t>
            </w:r>
            <w:r>
              <w:rPr>
                <w:rFonts w:ascii="Times New Roman" w:hAnsi="Times New Roman" w:cs="Times New Roman"/>
                <w:spacing w:val="-1"/>
                <w:sz w:val="21"/>
                <w:szCs w:val="21"/>
                <w:u w:val="single"/>
                <w:lang w:eastAsia="zh-CN"/>
              </w:rPr>
              <w:t xml:space="preserve">   </w:t>
            </w:r>
          </w:p>
          <w:p w14:paraId="4748BACC">
            <w:pPr>
              <w:pStyle w:val="14"/>
              <w:spacing w:before="145" w:line="360" w:lineRule="auto"/>
              <w:jc w:val="both"/>
              <w:rPr>
                <w:rFonts w:ascii="Times New Roman" w:hAnsi="Times New Roman" w:cs="Times New Roman"/>
                <w:spacing w:val="-1"/>
                <w:sz w:val="21"/>
                <w:szCs w:val="21"/>
                <w:u w:val="single"/>
                <w:lang w:eastAsia="zh-CN"/>
              </w:rPr>
            </w:pPr>
            <w:r>
              <w:rPr>
                <w:rFonts w:ascii="Times New Roman" w:hAnsi="Times New Roman" w:cs="Times New Roman"/>
                <w:spacing w:val="-1"/>
                <w:sz w:val="21"/>
                <w:szCs w:val="21"/>
                <w:lang w:eastAsia="zh-CN"/>
              </w:rPr>
              <w:t xml:space="preserve"> </w:t>
            </w:r>
            <w:r>
              <w:rPr>
                <w:rFonts w:hint="eastAsia" w:ascii="Times New Roman" w:hAnsi="Times New Roman" w:cs="Times New Roman"/>
                <w:spacing w:val="-1"/>
                <w:sz w:val="21"/>
                <w:szCs w:val="21"/>
                <w:lang w:eastAsia="zh-CN"/>
              </w:rPr>
              <w:t>□疫苗</w:t>
            </w:r>
            <w:r>
              <w:rPr>
                <w:rFonts w:ascii="Times New Roman" w:hAnsi="Times New Roman" w:cs="Times New Roman"/>
                <w:spacing w:val="-1"/>
                <w:sz w:val="21"/>
                <w:szCs w:val="21"/>
                <w:u w:val="single"/>
                <w:lang w:eastAsia="zh-CN"/>
              </w:rPr>
              <w:t xml:space="preserve">    </w:t>
            </w:r>
            <w:r>
              <w:rPr>
                <w:rFonts w:hint="eastAsia" w:ascii="Times New Roman" w:hAnsi="Times New Roman" w:cs="Times New Roman"/>
                <w:spacing w:val="-1"/>
                <w:sz w:val="21"/>
                <w:szCs w:val="21"/>
                <w:u w:val="single"/>
                <w:lang w:eastAsia="zh-CN"/>
              </w:rPr>
              <w:t xml:space="preserve">                                                                                                              </w:t>
            </w:r>
            <w:r>
              <w:rPr>
                <w:rFonts w:ascii="Times New Roman" w:hAnsi="Times New Roman" w:cs="Times New Roman"/>
                <w:spacing w:val="-1"/>
                <w:sz w:val="21"/>
                <w:szCs w:val="21"/>
                <w:u w:val="single"/>
                <w:lang w:eastAsia="zh-CN"/>
              </w:rPr>
              <w:t xml:space="preserve">        </w:t>
            </w:r>
          </w:p>
          <w:p w14:paraId="138A64DB">
            <w:pPr>
              <w:pStyle w:val="14"/>
              <w:spacing w:before="145" w:line="360" w:lineRule="auto"/>
              <w:jc w:val="both"/>
              <w:rPr>
                <w:rFonts w:ascii="Times New Roman" w:hAnsi="Times New Roman" w:cs="Times New Roman"/>
                <w:spacing w:val="-2"/>
                <w:sz w:val="21"/>
                <w:szCs w:val="21"/>
                <w:lang w:eastAsia="zh-CN"/>
              </w:rPr>
            </w:pPr>
            <w:r>
              <w:rPr>
                <w:rFonts w:ascii="Times New Roman" w:hAnsi="Times New Roman" w:cs="Times New Roman"/>
                <w:spacing w:val="-1"/>
                <w:sz w:val="21"/>
                <w:szCs w:val="21"/>
                <w:lang w:eastAsia="zh-CN"/>
              </w:rPr>
              <w:t xml:space="preserve"> </w:t>
            </w:r>
            <w:r>
              <w:rPr>
                <w:rFonts w:hint="eastAsia" w:ascii="Times New Roman" w:hAnsi="Times New Roman" w:cs="Times New Roman"/>
                <w:spacing w:val="-1"/>
                <w:sz w:val="21"/>
                <w:szCs w:val="21"/>
                <w:lang w:eastAsia="zh-CN"/>
              </w:rPr>
              <w:t xml:space="preserve"> □ 特异抗血清</w:t>
            </w:r>
            <w:r>
              <w:rPr>
                <w:rFonts w:ascii="Times New Roman" w:hAnsi="Times New Roman" w:cs="Times New Roman"/>
                <w:spacing w:val="-1"/>
                <w:sz w:val="21"/>
                <w:szCs w:val="21"/>
                <w:u w:val="single"/>
                <w:lang w:eastAsia="zh-CN"/>
              </w:rPr>
              <w:t xml:space="preserve">    </w:t>
            </w:r>
            <w:r>
              <w:rPr>
                <w:rFonts w:hint="eastAsia" w:ascii="Times New Roman" w:hAnsi="Times New Roman" w:cs="Times New Roman"/>
                <w:spacing w:val="-1"/>
                <w:sz w:val="21"/>
                <w:szCs w:val="21"/>
                <w:u w:val="single"/>
                <w:lang w:eastAsia="zh-CN"/>
              </w:rPr>
              <w:t xml:space="preserve">                                                                                               </w:t>
            </w:r>
            <w:r>
              <w:rPr>
                <w:rFonts w:ascii="Times New Roman" w:hAnsi="Times New Roman" w:cs="Times New Roman"/>
                <w:spacing w:val="-1"/>
                <w:sz w:val="21"/>
                <w:szCs w:val="21"/>
                <w:u w:val="single"/>
                <w:lang w:eastAsia="zh-CN"/>
              </w:rPr>
              <w:t xml:space="preserve">        </w:t>
            </w:r>
          </w:p>
        </w:tc>
      </w:tr>
      <w:tr w14:paraId="446835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7" w:hRule="atLeast"/>
        </w:trPr>
        <w:tc>
          <w:tcPr>
            <w:tcW w:w="943" w:type="pct"/>
            <w:vMerge w:val="continue"/>
            <w:vAlign w:val="center"/>
          </w:tcPr>
          <w:p w14:paraId="0CD8B2CC">
            <w:pPr>
              <w:pStyle w:val="14"/>
              <w:spacing w:before="145" w:line="360" w:lineRule="auto"/>
              <w:ind w:left="113" w:leftChars="0"/>
              <w:jc w:val="center"/>
              <w:rPr>
                <w:rFonts w:ascii="Times New Roman" w:hAnsi="Times New Roman" w:cs="Times New Roman"/>
                <w:spacing w:val="-2"/>
                <w:sz w:val="21"/>
                <w:szCs w:val="21"/>
                <w:lang w:eastAsia="zh-CN"/>
              </w:rPr>
            </w:pPr>
          </w:p>
        </w:tc>
        <w:tc>
          <w:tcPr>
            <w:tcW w:w="4056" w:type="pct"/>
            <w:gridSpan w:val="4"/>
            <w:vAlign w:val="center"/>
          </w:tcPr>
          <w:p w14:paraId="3DCFE162">
            <w:pPr>
              <w:pStyle w:val="14"/>
              <w:spacing w:before="145" w:line="360" w:lineRule="auto"/>
              <w:jc w:val="both"/>
              <w:rPr>
                <w:rFonts w:ascii="Times New Roman" w:hAnsi="Times New Roman" w:cs="Times New Roman"/>
                <w:spacing w:val="-1"/>
                <w:sz w:val="21"/>
                <w:szCs w:val="21"/>
                <w:lang w:eastAsia="zh-CN"/>
              </w:rPr>
            </w:pPr>
            <w:r>
              <w:rPr>
                <w:rFonts w:hint="eastAsia" w:ascii="Times New Roman" w:hAnsi="Times New Roman" w:cs="Times New Roman"/>
                <w:spacing w:val="-1"/>
                <w:sz w:val="21"/>
                <w:szCs w:val="21"/>
                <w:lang w:eastAsia="zh-CN"/>
              </w:rPr>
              <w:t>详述人感染后的治疗措施：</w:t>
            </w:r>
          </w:p>
          <w:p w14:paraId="04D3D357">
            <w:pPr>
              <w:pStyle w:val="14"/>
              <w:spacing w:before="145" w:line="360" w:lineRule="auto"/>
              <w:jc w:val="both"/>
              <w:rPr>
                <w:rFonts w:ascii="Times New Roman" w:hAnsi="Times New Roman" w:cs="Times New Roman"/>
                <w:spacing w:val="-2"/>
                <w:sz w:val="21"/>
                <w:szCs w:val="21"/>
                <w:lang w:eastAsia="zh-CN"/>
              </w:rPr>
            </w:pPr>
            <w:r>
              <w:rPr>
                <w:rFonts w:ascii="宋体" w:hAnsi="宋体" w:eastAsia="宋体" w:cs="宋体"/>
                <w:snapToGrid w:val="0"/>
                <w:color w:val="0000FF"/>
                <w:sz w:val="18"/>
                <w:szCs w:val="18"/>
                <w:lang w:val="en-US" w:eastAsia="zh-CN" w:bidi="ar-SA"/>
              </w:rPr>
              <w:t>铜绿假单胞菌的防治需采取多管齐下的策略：预防核心在于严格的感染控制，包括加强手卫生、 严格消毒医疗器械与环境（尤其水源系统）、规范无菌操作及对耐药菌感染患者实施接触隔离； 治疗则面临严峻的耐药性挑战，必须依据药物敏感性试验结果，遵循“及时、足量、联合”原则 ，常用抗假单胞菌β-内酰胺类联合氨基糖苷类或氟喹诺酮类药物，对于多重耐药甚至全耐药菌 株，则需启用多粘菌素、头孢地尔等最后防线药物，并积极通过手术清创移除感染灶。</w:t>
            </w:r>
          </w:p>
        </w:tc>
      </w:tr>
      <w:tr w14:paraId="259C712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7" w:hRule="atLeast"/>
        </w:trPr>
        <w:tc>
          <w:tcPr>
            <w:tcW w:w="943" w:type="pct"/>
            <w:vAlign w:val="center"/>
          </w:tcPr>
          <w:p w14:paraId="43AA1A21">
            <w:pPr>
              <w:pStyle w:val="14"/>
              <w:spacing w:before="59" w:line="360" w:lineRule="auto"/>
              <w:jc w:val="center"/>
              <w:rPr>
                <w:rFonts w:ascii="Times New Roman" w:hAnsi="Times New Roman" w:cs="Times New Roman"/>
                <w:spacing w:val="-2"/>
                <w:sz w:val="21"/>
                <w:szCs w:val="21"/>
                <w:lang w:eastAsia="zh-CN"/>
              </w:rPr>
            </w:pPr>
            <w:r>
              <w:rPr>
                <w:rFonts w:ascii="Times New Roman" w:hAnsi="Times New Roman" w:cs="Times New Roman"/>
                <w:spacing w:val="-2"/>
                <w:sz w:val="21"/>
                <w:szCs w:val="21"/>
              </w:rPr>
              <w:t>消毒、灭菌方法</w:t>
            </w:r>
          </w:p>
        </w:tc>
        <w:tc>
          <w:tcPr>
            <w:tcW w:w="4056" w:type="pct"/>
            <w:gridSpan w:val="4"/>
            <w:vAlign w:val="center"/>
          </w:tcPr>
          <w:p w14:paraId="45A6F758">
            <w:pPr>
              <w:pStyle w:val="14"/>
              <w:spacing w:before="147"/>
              <w:ind w:left="111"/>
              <w:rPr>
                <w:rFonts w:ascii="Times New Roman" w:hAnsi="Times New Roman" w:cs="Times New Roman"/>
                <w:sz w:val="21"/>
                <w:szCs w:val="21"/>
                <w:lang w:eastAsia="zh-CN"/>
              </w:rPr>
            </w:pPr>
            <w:r>
              <w:rPr>
                <w:rFonts w:ascii="Times New Roman" w:hAnsi="Times New Roman" w:cs="Times New Roman"/>
                <w:spacing w:val="-4"/>
                <w:sz w:val="21"/>
                <w:szCs w:val="21"/>
                <w:lang w:eastAsia="zh-CN"/>
              </w:rPr>
              <w:t>化学法：有效消毒剂</w:t>
            </w:r>
            <w:r>
              <w:rPr>
                <w:rFonts w:ascii="Times New Roman" w:hAnsi="Times New Roman" w:cs="Times New Roman"/>
                <w:spacing w:val="15"/>
                <w:sz w:val="21"/>
                <w:szCs w:val="21"/>
                <w:lang w:eastAsia="zh-CN"/>
              </w:rPr>
              <w:t xml:space="preserve">  </w:t>
            </w:r>
            <w:r>
              <w:rPr>
                <w:rFonts w:ascii="Times New Roman" w:hAnsi="Times New Roman" w:cs="Times New Roman"/>
                <w:spacing w:val="-4"/>
                <w:sz w:val="21"/>
                <w:szCs w:val="21"/>
                <w:lang w:eastAsia="zh-CN"/>
              </w:rPr>
              <w:t>1</w:t>
            </w:r>
            <w:r>
              <w:rPr>
                <w:rFonts w:ascii="Times New Roman" w:hAnsi="Times New Roman" w:cs="Times New Roman"/>
                <w:sz w:val="21"/>
                <w:szCs w:val="21"/>
                <w:u w:val="single"/>
                <w:lang w:eastAsia="zh-CN"/>
              </w:rPr>
              <w:t xml:space="preserve"> </w:t>
            </w:r>
            <w:r>
              <w:rPr>
                <w:rFonts w:ascii="宋体" w:hAnsi="宋体" w:eastAsia="宋体" w:cs="宋体"/>
                <w:snapToGrid w:val="0"/>
                <w:color w:val="0000FF"/>
                <w:sz w:val="18"/>
                <w:szCs w:val="18"/>
                <w:u w:val="single"/>
                <w:lang w:val="en-US" w:eastAsia="zh-CN" w:bidi="ar-SA"/>
              </w:rPr>
              <w:t>含氯消毒剂</w:t>
            </w:r>
            <w:r>
              <w:rPr>
                <w:rFonts w:ascii="Times New Roman" w:hAnsi="Times New Roman" w:cs="Times New Roman"/>
                <w:sz w:val="21"/>
                <w:szCs w:val="21"/>
                <w:u w:val="single"/>
                <w:lang w:eastAsia="zh-CN"/>
              </w:rPr>
              <w:t xml:space="preserve">   </w:t>
            </w:r>
            <w:r>
              <w:rPr>
                <w:rFonts w:ascii="Times New Roman" w:hAnsi="Times New Roman" w:cs="Times New Roman"/>
                <w:spacing w:val="-65"/>
                <w:sz w:val="21"/>
                <w:szCs w:val="21"/>
                <w:u w:val="single"/>
                <w:lang w:eastAsia="zh-CN"/>
              </w:rPr>
              <w:t xml:space="preserve"> </w:t>
            </w:r>
            <w:r>
              <w:rPr>
                <w:rFonts w:ascii="Times New Roman" w:hAnsi="Times New Roman" w:cs="Times New Roman"/>
                <w:spacing w:val="-4"/>
                <w:sz w:val="21"/>
                <w:szCs w:val="21"/>
                <w:lang w:eastAsia="zh-CN"/>
              </w:rPr>
              <w:t>；  2</w:t>
            </w:r>
            <w:r>
              <w:rPr>
                <w:rFonts w:ascii="Times New Roman" w:hAnsi="Times New Roman" w:cs="Times New Roman"/>
                <w:spacing w:val="6"/>
                <w:sz w:val="21"/>
                <w:szCs w:val="21"/>
                <w:u w:val="single"/>
                <w:lang w:eastAsia="zh-CN"/>
              </w:rPr>
              <w:t xml:space="preserve">   </w:t>
            </w:r>
            <w:r>
              <w:rPr>
                <w:rFonts w:ascii="宋体" w:hAnsi="宋体" w:eastAsia="宋体" w:cs="宋体"/>
                <w:snapToGrid w:val="0"/>
                <w:color w:val="0000FF"/>
                <w:sz w:val="18"/>
                <w:szCs w:val="18"/>
                <w:u w:val="single"/>
                <w:lang w:val="en-US" w:eastAsia="zh-CN" w:bidi="ar-SA"/>
              </w:rPr>
              <w:t>过氧化物类</w:t>
            </w:r>
            <w:r>
              <w:rPr>
                <w:rFonts w:ascii="Times New Roman" w:hAnsi="Times New Roman" w:cs="Times New Roman"/>
                <w:spacing w:val="6"/>
                <w:sz w:val="21"/>
                <w:szCs w:val="21"/>
                <w:u w:val="single"/>
                <w:lang w:eastAsia="zh-CN"/>
              </w:rPr>
              <w:t xml:space="preserve">  </w:t>
            </w:r>
            <w:r>
              <w:rPr>
                <w:rFonts w:ascii="Times New Roman" w:hAnsi="Times New Roman" w:cs="Times New Roman"/>
                <w:spacing w:val="-4"/>
                <w:sz w:val="21"/>
                <w:szCs w:val="21"/>
                <w:lang w:eastAsia="zh-CN"/>
              </w:rPr>
              <w:t>；</w:t>
            </w:r>
          </w:p>
          <w:p w14:paraId="00C7A28E">
            <w:pPr>
              <w:pStyle w:val="14"/>
              <w:spacing w:before="254"/>
              <w:ind w:left="110"/>
              <w:rPr>
                <w:rFonts w:ascii="Times New Roman" w:hAnsi="Times New Roman" w:cs="Times New Roman"/>
                <w:sz w:val="21"/>
                <w:szCs w:val="21"/>
                <w:lang w:eastAsia="zh-CN"/>
              </w:rPr>
            </w:pPr>
            <w:r>
              <w:rPr>
                <w:rFonts w:ascii="Times New Roman" w:hAnsi="Times New Roman" w:cs="Times New Roman"/>
                <w:spacing w:val="-1"/>
                <w:sz w:val="21"/>
                <w:szCs w:val="21"/>
                <w:lang w:eastAsia="zh-CN"/>
              </w:rPr>
              <w:t>物理法：压力蒸汽灭菌器□；干热灭菌</w:t>
            </w:r>
            <w:r>
              <w:rPr>
                <w:rFonts w:hint="eastAsia" w:ascii="Times New Roman" w:hAnsi="Times New Roman" w:cs="Times New Roman"/>
                <w:spacing w:val="-1"/>
                <w:sz w:val="21"/>
                <w:szCs w:val="21"/>
                <w:lang w:eastAsia="zh-CN"/>
              </w:rPr>
              <w:t>□</w:t>
            </w:r>
            <w:r>
              <w:rPr>
                <w:rFonts w:ascii="Times New Roman" w:hAnsi="Times New Roman" w:cs="Times New Roman"/>
                <w:spacing w:val="-1"/>
                <w:sz w:val="21"/>
                <w:szCs w:val="21"/>
                <w:lang w:eastAsia="zh-CN"/>
              </w:rPr>
              <w:t>；紫外线□;</w:t>
            </w:r>
          </w:p>
          <w:p w14:paraId="36D3BF99">
            <w:pPr>
              <w:pStyle w:val="14"/>
              <w:spacing w:before="254"/>
              <w:ind w:left="111" w:leftChars="0"/>
              <w:rPr>
                <w:rFonts w:ascii="Times New Roman" w:hAnsi="Times New Roman" w:cs="Times New Roman"/>
                <w:spacing w:val="-2"/>
                <w:sz w:val="21"/>
                <w:szCs w:val="21"/>
                <w:lang w:eastAsia="zh-CN"/>
              </w:rPr>
            </w:pPr>
            <w:r>
              <w:rPr>
                <w:rFonts w:ascii="Times New Roman" w:hAnsi="Times New Roman" w:cs="Times New Roman"/>
                <w:spacing w:val="-11"/>
                <w:sz w:val="21"/>
                <w:szCs w:val="21"/>
              </w:rPr>
              <w:t>其他：</w:t>
            </w:r>
          </w:p>
        </w:tc>
      </w:tr>
      <w:tr w14:paraId="4D6BE8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7" w:hRule="atLeast"/>
        </w:trPr>
        <w:tc>
          <w:tcPr>
            <w:tcW w:w="5000" w:type="pct"/>
            <w:gridSpan w:val="5"/>
            <w:shd w:val="clear" w:color="auto" w:fill="D7D7D7" w:themeFill="background1" w:themeFillShade="D8"/>
            <w:vAlign w:val="center"/>
          </w:tcPr>
          <w:p w14:paraId="2B03D76B">
            <w:pPr>
              <w:pStyle w:val="14"/>
              <w:spacing w:before="147" w:line="360" w:lineRule="auto"/>
              <w:jc w:val="center"/>
              <w:rPr>
                <w:rFonts w:ascii="Times New Roman" w:hAnsi="Times New Roman" w:cs="Times New Roman"/>
                <w:spacing w:val="-2"/>
                <w:lang w:eastAsia="zh-CN"/>
              </w:rPr>
            </w:pPr>
            <w:r>
              <w:rPr>
                <w:rFonts w:hint="eastAsia" w:ascii="黑体" w:hAnsi="黑体" w:eastAsia="黑体" w:cs="黑体"/>
                <w:b/>
                <w:bCs/>
                <w:spacing w:val="-2"/>
                <w:sz w:val="21"/>
                <w:szCs w:val="21"/>
                <w:lang w:eastAsia="zh-CN"/>
              </w:rPr>
              <w:t>实验活动描述</w:t>
            </w:r>
          </w:p>
        </w:tc>
      </w:tr>
      <w:tr w14:paraId="79DFF6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61" w:hRule="atLeast"/>
        </w:trPr>
        <w:tc>
          <w:tcPr>
            <w:tcW w:w="943" w:type="pct"/>
            <w:vAlign w:val="center"/>
          </w:tcPr>
          <w:p w14:paraId="4D1D823A">
            <w:pPr>
              <w:pStyle w:val="14"/>
              <w:spacing w:before="147" w:line="360" w:lineRule="auto"/>
              <w:jc w:val="center"/>
              <w:rPr>
                <w:rFonts w:ascii="Times New Roman" w:hAnsi="Times New Roman" w:cs="Times New Roman"/>
                <w:spacing w:val="-2"/>
                <w:sz w:val="21"/>
                <w:szCs w:val="21"/>
                <w:lang w:eastAsia="zh-CN"/>
              </w:rPr>
            </w:pPr>
            <w:r>
              <w:rPr>
                <w:rFonts w:hint="eastAsia" w:ascii="Times New Roman" w:hAnsi="Times New Roman" w:cs="Times New Roman"/>
                <w:spacing w:val="-2"/>
                <w:sz w:val="21"/>
                <w:szCs w:val="21"/>
                <w:lang w:eastAsia="zh-CN"/>
              </w:rPr>
              <w:t>实验操作</w:t>
            </w:r>
          </w:p>
        </w:tc>
        <w:tc>
          <w:tcPr>
            <w:tcW w:w="4056" w:type="pct"/>
            <w:gridSpan w:val="4"/>
            <w:vAlign w:val="center"/>
          </w:tcPr>
          <w:p w14:paraId="044B154C">
            <w:pPr>
              <w:pStyle w:val="7"/>
              <w:rPr>
                <w:rFonts w:ascii="宋体" w:hAnsi="宋体" w:eastAsia="宋体" w:cs="宋体"/>
                <w:color w:val="0000FF"/>
                <w:sz w:val="18"/>
                <w:szCs w:val="18"/>
                <w:lang w:eastAsia="zh-CN"/>
              </w:rPr>
            </w:pPr>
            <w:r>
              <w:rPr>
                <w:rFonts w:ascii="宋体" w:hAnsi="宋体" w:eastAsia="宋体" w:cs="宋体"/>
                <w:color w:val="0000FF"/>
                <w:sz w:val="18"/>
                <w:szCs w:val="18"/>
                <w:lang w:eastAsia="zh-CN"/>
              </w:rPr>
              <w:t xml:space="preserve">主要描述病原接种方式、剂量等（需要有详细的操作步骤） </w:t>
            </w:r>
          </w:p>
          <w:p w14:paraId="0019D3D3">
            <w:pPr>
              <w:pStyle w:val="7"/>
              <w:numPr>
                <w:ilvl w:val="0"/>
                <w:numId w:val="0"/>
              </w:numPr>
              <w:rPr>
                <w:rFonts w:ascii="宋体" w:hAnsi="宋体" w:eastAsia="宋体" w:cs="宋体"/>
                <w:color w:val="0000FF"/>
                <w:sz w:val="18"/>
                <w:szCs w:val="18"/>
                <w:lang w:eastAsia="zh-CN"/>
              </w:rPr>
            </w:pPr>
          </w:p>
        </w:tc>
      </w:tr>
      <w:tr w14:paraId="265022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67" w:hRule="atLeast"/>
        </w:trPr>
        <w:tc>
          <w:tcPr>
            <w:tcW w:w="943" w:type="pct"/>
            <w:vMerge w:val="restart"/>
            <w:vAlign w:val="center"/>
          </w:tcPr>
          <w:p w14:paraId="20037D10">
            <w:pPr>
              <w:pStyle w:val="14"/>
              <w:spacing w:before="147" w:line="360" w:lineRule="auto"/>
              <w:jc w:val="center"/>
              <w:rPr>
                <w:rFonts w:ascii="Times New Roman" w:hAnsi="Times New Roman" w:cs="Times New Roman"/>
                <w:spacing w:val="-2"/>
                <w:sz w:val="21"/>
                <w:szCs w:val="21"/>
                <w:lang w:eastAsia="zh-CN"/>
              </w:rPr>
            </w:pPr>
            <w:r>
              <w:rPr>
                <w:rFonts w:hint="eastAsia" w:ascii="Times New Roman" w:hAnsi="Times New Roman" w:cs="Times New Roman"/>
                <w:spacing w:val="-2"/>
                <w:sz w:val="21"/>
                <w:szCs w:val="21"/>
                <w:lang w:eastAsia="zh-CN"/>
              </w:rPr>
              <w:t>实验观察、标本采集、检测指标</w:t>
            </w:r>
          </w:p>
        </w:tc>
        <w:tc>
          <w:tcPr>
            <w:tcW w:w="4056" w:type="pct"/>
            <w:gridSpan w:val="4"/>
            <w:vAlign w:val="center"/>
          </w:tcPr>
          <w:p w14:paraId="40E1824A">
            <w:pPr>
              <w:pStyle w:val="14"/>
              <w:spacing w:before="147" w:line="360" w:lineRule="auto"/>
              <w:rPr>
                <w:rFonts w:hint="default"/>
                <w:color w:val="0000FF"/>
                <w:lang w:val="en-US" w:eastAsia="zh-CN"/>
              </w:rPr>
            </w:pPr>
            <w:r>
              <w:rPr>
                <w:color w:val="0000FF"/>
                <w:lang w:eastAsia="zh-CN"/>
              </w:rPr>
              <w:t>1、动物观察：每天进行一般观察，包括动物活动情况、毛发、分泌物、行为活动，死亡情况等 2、</w:t>
            </w:r>
            <w:r>
              <w:rPr>
                <w:rFonts w:hint="eastAsia"/>
                <w:color w:val="0000FF"/>
                <w:lang w:val="en-US" w:eastAsia="zh-CN"/>
              </w:rPr>
              <w:t>实验结束后</w:t>
            </w:r>
            <w:r>
              <w:rPr>
                <w:color w:val="0000FF"/>
                <w:lang w:eastAsia="zh-CN"/>
              </w:rPr>
              <w:t>，动物用XX浓度的XX麻醉，取肝脏、肾脏</w:t>
            </w:r>
            <w:r>
              <w:rPr>
                <w:rFonts w:hint="eastAsia"/>
                <w:color w:val="0000FF"/>
                <w:lang w:eastAsia="zh-CN"/>
              </w:rPr>
              <w:t>（</w:t>
            </w:r>
            <w:r>
              <w:rPr>
                <w:rFonts w:hint="eastAsia"/>
                <w:color w:val="0000FF"/>
                <w:lang w:val="en-US" w:eastAsia="zh-CN"/>
              </w:rPr>
              <w:t>用何种方式取材</w:t>
            </w:r>
            <w:r>
              <w:rPr>
                <w:rFonts w:hint="eastAsia"/>
                <w:color w:val="0000FF"/>
                <w:lang w:eastAsia="zh-CN"/>
              </w:rPr>
              <w:t>）</w:t>
            </w:r>
          </w:p>
        </w:tc>
      </w:tr>
      <w:tr w14:paraId="6164B6A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52" w:hRule="atLeast"/>
        </w:trPr>
        <w:tc>
          <w:tcPr>
            <w:tcW w:w="943" w:type="pct"/>
            <w:vMerge w:val="continue"/>
            <w:vAlign w:val="center"/>
          </w:tcPr>
          <w:p w14:paraId="6EA47F1A">
            <w:pPr>
              <w:pStyle w:val="14"/>
              <w:spacing w:before="147" w:line="360" w:lineRule="auto"/>
            </w:pPr>
          </w:p>
        </w:tc>
        <w:tc>
          <w:tcPr>
            <w:tcW w:w="4056" w:type="pct"/>
            <w:gridSpan w:val="4"/>
            <w:vAlign w:val="center"/>
          </w:tcPr>
          <w:p w14:paraId="662E2C62">
            <w:pPr>
              <w:pStyle w:val="14"/>
              <w:spacing w:before="147" w:line="360" w:lineRule="auto"/>
              <w:rPr>
                <w:color w:val="0000FF"/>
                <w:lang w:eastAsia="zh-CN"/>
              </w:rPr>
            </w:pPr>
            <w:r>
              <w:rPr>
                <w:b/>
                <w:bCs/>
                <w:color w:val="0000FF"/>
                <w:lang w:eastAsia="zh-CN"/>
              </w:rPr>
              <w:t>以上标本检测，课题组承诺会在国家法规和标准要求的相应级别实验室开展</w:t>
            </w:r>
          </w:p>
        </w:tc>
      </w:tr>
      <w:tr w14:paraId="321B731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69" w:hRule="atLeast"/>
        </w:trPr>
        <w:tc>
          <w:tcPr>
            <w:tcW w:w="943" w:type="pct"/>
            <w:vAlign w:val="center"/>
          </w:tcPr>
          <w:p w14:paraId="6B4A7AF9">
            <w:pPr>
              <w:pStyle w:val="14"/>
              <w:spacing w:before="147" w:line="360" w:lineRule="auto"/>
              <w:jc w:val="center"/>
              <w:rPr>
                <w:rFonts w:ascii="Times New Roman" w:hAnsi="Times New Roman" w:cs="Times New Roman"/>
                <w:sz w:val="21"/>
                <w:szCs w:val="21"/>
                <w:lang w:eastAsia="zh-CN"/>
              </w:rPr>
            </w:pPr>
            <w:r>
              <w:rPr>
                <w:rFonts w:hint="eastAsia" w:ascii="Times New Roman" w:hAnsi="Times New Roman" w:cs="Times New Roman"/>
                <w:sz w:val="21"/>
                <w:szCs w:val="21"/>
                <w:lang w:eastAsia="zh-CN"/>
              </w:rPr>
              <w:t>标本运输、标本处理、废弃物处理</w:t>
            </w:r>
          </w:p>
        </w:tc>
        <w:tc>
          <w:tcPr>
            <w:tcW w:w="4056" w:type="pct"/>
            <w:gridSpan w:val="4"/>
            <w:vAlign w:val="center"/>
          </w:tcPr>
          <w:p w14:paraId="52E1713C">
            <w:pPr>
              <w:numPr>
                <w:ilvl w:val="0"/>
                <w:numId w:val="1"/>
              </w:numPr>
              <w:tabs>
                <w:tab w:val="left" w:pos="971"/>
              </w:tabs>
              <w:spacing w:line="360" w:lineRule="auto"/>
              <w:rPr>
                <w:rFonts w:ascii="宋体" w:hAnsi="宋体" w:eastAsia="宋体" w:cs="宋体"/>
                <w:color w:val="0000FF"/>
                <w:sz w:val="18"/>
                <w:szCs w:val="18"/>
                <w:lang w:eastAsia="zh-CN"/>
              </w:rPr>
            </w:pPr>
            <w:r>
              <w:rPr>
                <w:rFonts w:ascii="宋体" w:hAnsi="宋体" w:eastAsia="宋体" w:cs="宋体"/>
                <w:color w:val="0000FF"/>
                <w:sz w:val="18"/>
                <w:szCs w:val="18"/>
                <w:lang w:eastAsia="zh-CN"/>
              </w:rPr>
              <w:t>标本处理方式</w:t>
            </w:r>
          </w:p>
          <w:p w14:paraId="0E3202F1">
            <w:pPr>
              <w:numPr>
                <w:ilvl w:val="0"/>
                <w:numId w:val="2"/>
              </w:numPr>
              <w:tabs>
                <w:tab w:val="left" w:pos="971"/>
              </w:tabs>
              <w:spacing w:line="360" w:lineRule="auto"/>
              <w:rPr>
                <w:rFonts w:ascii="宋体" w:hAnsi="宋体" w:eastAsia="宋体" w:cs="宋体"/>
                <w:color w:val="0000FF"/>
                <w:sz w:val="18"/>
                <w:szCs w:val="18"/>
                <w:lang w:eastAsia="zh-CN"/>
              </w:rPr>
            </w:pPr>
            <w:r>
              <w:rPr>
                <w:rFonts w:ascii="宋体" w:hAnsi="宋体" w:eastAsia="宋体" w:cs="宋体"/>
                <w:color w:val="0000FF"/>
                <w:sz w:val="18"/>
                <w:szCs w:val="18"/>
                <w:lang w:eastAsia="zh-CN"/>
              </w:rPr>
              <w:t>血液标本：三层包装（UN3373标识），在BSL-2及以上级别实验室完成检测；</w:t>
            </w:r>
          </w:p>
          <w:p w14:paraId="4B1D820A">
            <w:pPr>
              <w:numPr>
                <w:ilvl w:val="0"/>
                <w:numId w:val="2"/>
              </w:numPr>
              <w:tabs>
                <w:tab w:val="left" w:pos="971"/>
              </w:tabs>
              <w:spacing w:line="360" w:lineRule="auto"/>
              <w:ind w:left="0" w:leftChars="0" w:firstLine="0" w:firstLineChars="0"/>
              <w:rPr>
                <w:rFonts w:ascii="宋体" w:hAnsi="宋体" w:eastAsia="宋体" w:cs="宋体"/>
                <w:color w:val="0000FF"/>
                <w:sz w:val="18"/>
                <w:szCs w:val="18"/>
                <w:lang w:eastAsia="zh-CN"/>
              </w:rPr>
            </w:pPr>
            <w:r>
              <w:rPr>
                <w:rFonts w:ascii="宋体" w:hAnsi="宋体" w:eastAsia="宋体" w:cs="宋体"/>
                <w:color w:val="0000FF"/>
                <w:sz w:val="18"/>
                <w:szCs w:val="18"/>
                <w:lang w:eastAsia="zh-CN"/>
              </w:rPr>
              <w:t>病理标本：三层包装（UN3373标识），固定后，在普通病理室完成；</w:t>
            </w:r>
          </w:p>
          <w:p w14:paraId="3C8F75D6">
            <w:pPr>
              <w:numPr>
                <w:ilvl w:val="0"/>
                <w:numId w:val="2"/>
              </w:numPr>
              <w:tabs>
                <w:tab w:val="left" w:pos="971"/>
              </w:tabs>
              <w:spacing w:line="360" w:lineRule="auto"/>
              <w:ind w:left="0" w:leftChars="0" w:firstLine="0" w:firstLineChars="0"/>
              <w:rPr>
                <w:rFonts w:ascii="宋体" w:hAnsi="宋体" w:eastAsia="宋体" w:cs="宋体"/>
                <w:color w:val="0000FF"/>
                <w:sz w:val="18"/>
                <w:szCs w:val="18"/>
                <w:lang w:eastAsia="zh-CN"/>
              </w:rPr>
            </w:pPr>
            <w:r>
              <w:rPr>
                <w:rFonts w:ascii="宋体" w:hAnsi="宋体" w:eastAsia="宋体" w:cs="宋体"/>
                <w:color w:val="0000FF"/>
                <w:sz w:val="18"/>
                <w:szCs w:val="18"/>
                <w:lang w:eastAsia="zh-CN"/>
              </w:rPr>
              <w:t>冻存组织：三层包装（UN3373标识），在BSL-2及以上级别实验室完成操作。</w:t>
            </w:r>
          </w:p>
          <w:p w14:paraId="5FC40D02">
            <w:pPr>
              <w:numPr>
                <w:ilvl w:val="0"/>
                <w:numId w:val="1"/>
              </w:numPr>
              <w:tabs>
                <w:tab w:val="left" w:pos="971"/>
              </w:tabs>
              <w:spacing w:line="360" w:lineRule="auto"/>
              <w:ind w:left="0" w:leftChars="0" w:firstLine="0" w:firstLineChars="0"/>
              <w:rPr>
                <w:rFonts w:ascii="宋体" w:hAnsi="宋体" w:eastAsia="宋体" w:cs="宋体"/>
                <w:color w:val="0000FF"/>
                <w:sz w:val="18"/>
                <w:szCs w:val="18"/>
                <w:lang w:eastAsia="zh-CN"/>
              </w:rPr>
            </w:pPr>
            <w:r>
              <w:rPr>
                <w:rFonts w:ascii="宋体" w:hAnsi="宋体" w:eastAsia="宋体" w:cs="宋体"/>
                <w:color w:val="0000FF"/>
                <w:sz w:val="18"/>
                <w:szCs w:val="18"/>
                <w:lang w:eastAsia="zh-CN"/>
              </w:rPr>
              <w:t>固体废弃物</w:t>
            </w:r>
          </w:p>
          <w:p w14:paraId="73144EDC">
            <w:pPr>
              <w:numPr>
                <w:ilvl w:val="0"/>
                <w:numId w:val="3"/>
              </w:numPr>
              <w:tabs>
                <w:tab w:val="left" w:pos="971"/>
              </w:tabs>
              <w:spacing w:line="360" w:lineRule="auto"/>
              <w:ind w:leftChars="0"/>
              <w:rPr>
                <w:rFonts w:ascii="宋体" w:hAnsi="宋体" w:eastAsia="宋体" w:cs="宋体"/>
                <w:color w:val="0000FF"/>
                <w:sz w:val="18"/>
                <w:szCs w:val="18"/>
                <w:lang w:eastAsia="zh-CN"/>
              </w:rPr>
            </w:pPr>
            <w:r>
              <w:rPr>
                <w:rFonts w:ascii="宋体" w:hAnsi="宋体" w:eastAsia="宋体" w:cs="宋体"/>
                <w:color w:val="0000FF"/>
                <w:sz w:val="18"/>
                <w:szCs w:val="18"/>
                <w:lang w:eastAsia="zh-CN"/>
              </w:rPr>
              <w:t>垫料与固体废物：所有接触过感染动物的垫料、饲料、一次性耗材等，均须作为感染性废弃物，装入双层生物安全垃圾袋，经高压蒸汽灭菌后方可运出处理。</w:t>
            </w:r>
          </w:p>
          <w:p w14:paraId="556E2571">
            <w:pPr>
              <w:numPr>
                <w:ilvl w:val="0"/>
                <w:numId w:val="3"/>
              </w:numPr>
              <w:tabs>
                <w:tab w:val="left" w:pos="971"/>
              </w:tabs>
              <w:spacing w:line="360" w:lineRule="auto"/>
              <w:ind w:left="0" w:leftChars="0" w:firstLine="0" w:firstLineChars="0"/>
              <w:rPr>
                <w:rFonts w:ascii="宋体" w:hAnsi="宋体" w:eastAsia="宋体" w:cs="宋体"/>
                <w:color w:val="0000FF"/>
                <w:sz w:val="18"/>
                <w:szCs w:val="18"/>
                <w:lang w:eastAsia="zh-CN"/>
              </w:rPr>
            </w:pPr>
            <w:r>
              <w:rPr>
                <w:rFonts w:ascii="宋体" w:hAnsi="宋体" w:eastAsia="宋体" w:cs="宋体"/>
                <w:color w:val="0000FF"/>
                <w:sz w:val="18"/>
                <w:szCs w:val="18"/>
                <w:lang w:eastAsia="zh-CN"/>
              </w:rPr>
              <w:t>利器：使用过的注射器针头、灌胃针等必须立即弃入耐刺的利器盒，严禁徒手分离或复帽 。</w:t>
            </w:r>
          </w:p>
          <w:p w14:paraId="26E3F72E">
            <w:pPr>
              <w:numPr>
                <w:ilvl w:val="0"/>
                <w:numId w:val="3"/>
              </w:numPr>
              <w:tabs>
                <w:tab w:val="left" w:pos="971"/>
              </w:tabs>
              <w:spacing w:line="360" w:lineRule="auto"/>
              <w:ind w:left="0" w:leftChars="0" w:firstLine="0" w:firstLineChars="0"/>
              <w:rPr>
                <w:rFonts w:ascii="宋体" w:hAnsi="宋体" w:eastAsia="宋体" w:cs="宋体"/>
                <w:color w:val="0000FF"/>
                <w:sz w:val="18"/>
                <w:szCs w:val="18"/>
                <w:lang w:eastAsia="zh-CN"/>
              </w:rPr>
            </w:pPr>
            <w:r>
              <w:rPr>
                <w:rFonts w:ascii="宋体" w:hAnsi="宋体" w:eastAsia="宋体" w:cs="宋体"/>
                <w:color w:val="0000FF"/>
                <w:sz w:val="18"/>
                <w:szCs w:val="18"/>
                <w:lang w:eastAsia="zh-CN"/>
              </w:rPr>
              <w:t>液体废物：病毒稀释液、清洗液等须用1%次氯酸钠溶液（终浓度）浸泡30分钟以上灭活， 再倒入专门的废水处理系统。</w:t>
            </w:r>
          </w:p>
          <w:p w14:paraId="62F2195C">
            <w:pPr>
              <w:numPr>
                <w:ilvl w:val="0"/>
                <w:numId w:val="3"/>
              </w:numPr>
              <w:tabs>
                <w:tab w:val="left" w:pos="971"/>
              </w:tabs>
              <w:spacing w:line="360" w:lineRule="auto"/>
              <w:ind w:left="0" w:leftChars="0" w:firstLine="0" w:firstLineChars="0"/>
              <w:rPr>
                <w:rFonts w:ascii="宋体" w:hAnsi="宋体" w:eastAsia="宋体" w:cs="宋体"/>
                <w:color w:val="0000FF"/>
                <w:sz w:val="18"/>
                <w:szCs w:val="18"/>
                <w:lang w:eastAsia="zh-CN"/>
              </w:rPr>
            </w:pPr>
            <w:r>
              <w:rPr>
                <w:rFonts w:ascii="宋体" w:hAnsi="宋体" w:eastAsia="宋体" w:cs="宋体"/>
                <w:color w:val="0000FF"/>
                <w:sz w:val="18"/>
                <w:szCs w:val="18"/>
                <w:lang w:eastAsia="zh-CN"/>
              </w:rPr>
              <w:t>工作台面与设备： 实验结束后，所有台面、设备表面（包括生物安全柜内部、鼠笼外表 面）均需用1%次氯酸钠溶液或等效消毒剂彻底擦拭。</w:t>
            </w:r>
          </w:p>
          <w:p w14:paraId="235C970C">
            <w:pPr>
              <w:numPr>
                <w:ilvl w:val="0"/>
                <w:numId w:val="0"/>
              </w:numPr>
              <w:tabs>
                <w:tab w:val="left" w:pos="971"/>
              </w:tabs>
              <w:spacing w:line="360" w:lineRule="auto"/>
              <w:ind w:leftChars="0"/>
              <w:rPr>
                <w:rFonts w:ascii="宋体" w:hAnsi="宋体" w:eastAsia="宋体" w:cs="宋体"/>
                <w:color w:val="0000FF"/>
                <w:sz w:val="18"/>
                <w:szCs w:val="18"/>
                <w:lang w:eastAsia="zh-CN"/>
              </w:rPr>
            </w:pPr>
            <w:r>
              <w:rPr>
                <w:rFonts w:ascii="宋体" w:hAnsi="宋体" w:eastAsia="宋体" w:cs="宋体"/>
                <w:color w:val="0000FF"/>
                <w:sz w:val="18"/>
                <w:szCs w:val="18"/>
                <w:lang w:eastAsia="zh-CN"/>
              </w:rPr>
              <w:t>（5）防护服：离开实验室前，将所有PPE脱下，放入指定的高压灭菌袋中。</w:t>
            </w:r>
          </w:p>
        </w:tc>
      </w:tr>
      <w:tr w14:paraId="6426E17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84" w:hRule="atLeast"/>
        </w:trPr>
        <w:tc>
          <w:tcPr>
            <w:tcW w:w="5000" w:type="pct"/>
            <w:gridSpan w:val="5"/>
            <w:shd w:val="clear" w:color="auto" w:fill="D7D7D7" w:themeFill="background1" w:themeFillShade="D8"/>
            <w:vAlign w:val="center"/>
          </w:tcPr>
          <w:p w14:paraId="621BEB83">
            <w:pPr>
              <w:pStyle w:val="7"/>
              <w:tabs>
                <w:tab w:val="left" w:pos="3057"/>
              </w:tabs>
              <w:jc w:val="center"/>
              <w:rPr>
                <w:rFonts w:ascii="宋体" w:hAnsi="宋体" w:eastAsia="宋体" w:cs="宋体"/>
                <w:color w:val="0000FF"/>
                <w:sz w:val="18"/>
                <w:szCs w:val="18"/>
                <w:lang w:eastAsia="zh-CN"/>
              </w:rPr>
            </w:pPr>
            <w:r>
              <w:rPr>
                <w:rFonts w:hint="eastAsia" w:ascii="黑体" w:hAnsi="黑体" w:eastAsia="黑体" w:cs="黑体"/>
                <w:b/>
                <w:bCs/>
                <w:spacing w:val="-2"/>
                <w:sz w:val="21"/>
                <w:lang w:eastAsia="zh-CN"/>
              </w:rPr>
              <w:t>实验过程风险分析（应全面考虑各项操作风险）</w:t>
            </w:r>
          </w:p>
        </w:tc>
      </w:tr>
      <w:tr w14:paraId="180D86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7" w:hRule="atLeast"/>
        </w:trPr>
        <w:tc>
          <w:tcPr>
            <w:tcW w:w="943" w:type="pct"/>
            <w:vAlign w:val="center"/>
          </w:tcPr>
          <w:p w14:paraId="42A4B37A">
            <w:pPr>
              <w:pStyle w:val="7"/>
              <w:jc w:val="center"/>
              <w:rPr>
                <w:rFonts w:ascii="宋体" w:hAnsi="宋体" w:eastAsia="宋体" w:cs="宋体"/>
                <w:b/>
                <w:bCs/>
                <w:color w:val="auto"/>
                <w:sz w:val="18"/>
                <w:szCs w:val="18"/>
                <w:lang w:eastAsia="zh-CN"/>
              </w:rPr>
            </w:pPr>
            <w:r>
              <w:rPr>
                <w:rFonts w:hint="eastAsia" w:ascii="宋体" w:hAnsi="宋体" w:eastAsia="宋体" w:cs="宋体"/>
                <w:b/>
                <w:bCs/>
                <w:color w:val="auto"/>
                <w:sz w:val="18"/>
                <w:szCs w:val="18"/>
                <w:lang w:eastAsia="zh-CN"/>
              </w:rPr>
              <w:t>实验操作</w:t>
            </w:r>
          </w:p>
        </w:tc>
        <w:tc>
          <w:tcPr>
            <w:tcW w:w="974" w:type="pct"/>
            <w:tcBorders>
              <w:right w:val="single" w:color="auto" w:sz="4" w:space="0"/>
            </w:tcBorders>
            <w:vAlign w:val="center"/>
          </w:tcPr>
          <w:p w14:paraId="438624F7">
            <w:pPr>
              <w:pStyle w:val="7"/>
              <w:jc w:val="center"/>
              <w:rPr>
                <w:rFonts w:ascii="宋体" w:hAnsi="宋体" w:eastAsia="宋体" w:cs="宋体"/>
                <w:b/>
                <w:bCs/>
                <w:color w:val="auto"/>
                <w:sz w:val="18"/>
                <w:szCs w:val="18"/>
                <w:lang w:eastAsia="zh-CN"/>
              </w:rPr>
            </w:pPr>
            <w:r>
              <w:rPr>
                <w:rFonts w:hint="eastAsia" w:ascii="宋体" w:hAnsi="宋体" w:eastAsia="宋体" w:cs="宋体"/>
                <w:b/>
                <w:bCs/>
                <w:color w:val="auto"/>
                <w:sz w:val="18"/>
                <w:szCs w:val="18"/>
                <w:lang w:eastAsia="zh-CN"/>
              </w:rPr>
              <w:t>可能存在的风险</w:t>
            </w:r>
          </w:p>
        </w:tc>
        <w:tc>
          <w:tcPr>
            <w:tcW w:w="1390" w:type="pct"/>
            <w:gridSpan w:val="2"/>
            <w:tcBorders>
              <w:left w:val="single" w:color="auto" w:sz="4" w:space="0"/>
              <w:right w:val="single" w:color="auto" w:sz="4" w:space="0"/>
            </w:tcBorders>
            <w:vAlign w:val="center"/>
          </w:tcPr>
          <w:p w14:paraId="0C44E2D0">
            <w:pPr>
              <w:pStyle w:val="7"/>
              <w:jc w:val="center"/>
              <w:rPr>
                <w:rFonts w:ascii="Times New Roman" w:hAnsi="Times New Roman" w:eastAsia="宋体" w:cs="Times New Roman"/>
                <w:b/>
                <w:bCs/>
                <w:color w:val="auto"/>
                <w:sz w:val="21"/>
                <w:lang w:eastAsia="zh-CN"/>
              </w:rPr>
            </w:pPr>
            <w:r>
              <w:rPr>
                <w:rFonts w:hint="eastAsia" w:ascii="宋体" w:hAnsi="宋体" w:eastAsia="宋体" w:cs="宋体"/>
                <w:b/>
                <w:bCs/>
                <w:color w:val="auto"/>
                <w:sz w:val="18"/>
                <w:szCs w:val="18"/>
                <w:lang w:eastAsia="zh-CN"/>
              </w:rPr>
              <w:t>预防措施</w:t>
            </w:r>
          </w:p>
        </w:tc>
        <w:tc>
          <w:tcPr>
            <w:tcW w:w="1691" w:type="pct"/>
            <w:tcBorders>
              <w:left w:val="single" w:color="auto" w:sz="4" w:space="0"/>
            </w:tcBorders>
            <w:vAlign w:val="center"/>
          </w:tcPr>
          <w:p w14:paraId="49BDF930">
            <w:pPr>
              <w:pStyle w:val="7"/>
              <w:jc w:val="center"/>
              <w:rPr>
                <w:rFonts w:ascii="宋体" w:hAnsi="宋体" w:eastAsia="宋体" w:cs="宋体"/>
                <w:b/>
                <w:bCs/>
                <w:color w:val="auto"/>
                <w:sz w:val="18"/>
                <w:szCs w:val="18"/>
                <w:lang w:eastAsia="zh-CN"/>
              </w:rPr>
            </w:pPr>
            <w:r>
              <w:rPr>
                <w:rFonts w:hint="eastAsia" w:ascii="宋体" w:hAnsi="宋体" w:eastAsia="宋体" w:cs="宋体"/>
                <w:b/>
                <w:bCs/>
                <w:color w:val="auto"/>
                <w:sz w:val="18"/>
                <w:szCs w:val="18"/>
                <w:lang w:eastAsia="zh-CN"/>
              </w:rPr>
              <w:t>意外事故应急预案</w:t>
            </w:r>
          </w:p>
        </w:tc>
      </w:tr>
      <w:tr w14:paraId="0A16DA6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94" w:hRule="atLeast"/>
        </w:trPr>
        <w:tc>
          <w:tcPr>
            <w:tcW w:w="943" w:type="pct"/>
            <w:vAlign w:val="center"/>
          </w:tcPr>
          <w:p w14:paraId="59DC4B81">
            <w:pPr>
              <w:numPr>
                <w:ilvl w:val="0"/>
                <w:numId w:val="0"/>
              </w:numPr>
              <w:tabs>
                <w:tab w:val="left" w:pos="971"/>
              </w:tabs>
              <w:spacing w:line="360" w:lineRule="auto"/>
              <w:rPr>
                <w:rFonts w:ascii="宋体" w:hAnsi="宋体" w:eastAsia="宋体" w:cs="宋体"/>
                <w:color w:val="0000FF"/>
                <w:sz w:val="18"/>
                <w:szCs w:val="18"/>
                <w:lang w:eastAsia="zh-CN"/>
              </w:rPr>
            </w:pPr>
            <w:r>
              <w:rPr>
                <w:rFonts w:ascii="宋体" w:hAnsi="宋体" w:eastAsia="宋体" w:cs="宋体"/>
                <w:color w:val="0000FF"/>
                <w:sz w:val="18"/>
                <w:szCs w:val="18"/>
                <w:lang w:eastAsia="zh-CN"/>
              </w:rPr>
              <w:t>活菌接种操作</w:t>
            </w:r>
          </w:p>
        </w:tc>
        <w:tc>
          <w:tcPr>
            <w:tcW w:w="974" w:type="pct"/>
            <w:tcBorders>
              <w:right w:val="single" w:color="auto" w:sz="4" w:space="0"/>
            </w:tcBorders>
            <w:vAlign w:val="center"/>
          </w:tcPr>
          <w:p w14:paraId="73498933">
            <w:pPr>
              <w:numPr>
                <w:ilvl w:val="0"/>
                <w:numId w:val="0"/>
              </w:numPr>
              <w:tabs>
                <w:tab w:val="left" w:pos="971"/>
              </w:tabs>
              <w:spacing w:line="360" w:lineRule="auto"/>
              <w:rPr>
                <w:rFonts w:ascii="宋体" w:hAnsi="宋体" w:eastAsia="宋体" w:cs="宋体"/>
                <w:color w:val="0000FF"/>
                <w:sz w:val="18"/>
                <w:szCs w:val="18"/>
                <w:lang w:eastAsia="zh-CN"/>
              </w:rPr>
            </w:pPr>
            <w:r>
              <w:rPr>
                <w:rFonts w:ascii="宋体" w:hAnsi="宋体" w:eastAsia="宋体" w:cs="宋体"/>
                <w:color w:val="0000FF"/>
                <w:sz w:val="18"/>
                <w:szCs w:val="18"/>
                <w:lang w:eastAsia="zh-CN"/>
              </w:rPr>
              <w:t>操作过程中可能产生气溶胶 ；或因动物挣扎和抽液操作 不当导致菌液溅洒、器械刺 割，使得病原体直接接触皮 肤黏膜。</w:t>
            </w:r>
          </w:p>
        </w:tc>
        <w:tc>
          <w:tcPr>
            <w:tcW w:w="1390" w:type="pct"/>
            <w:gridSpan w:val="2"/>
            <w:tcBorders>
              <w:left w:val="single" w:color="auto" w:sz="4" w:space="0"/>
              <w:right w:val="single" w:color="auto" w:sz="4" w:space="0"/>
            </w:tcBorders>
            <w:vAlign w:val="center"/>
          </w:tcPr>
          <w:p w14:paraId="67215499">
            <w:pPr>
              <w:numPr>
                <w:ilvl w:val="0"/>
                <w:numId w:val="0"/>
              </w:numPr>
              <w:tabs>
                <w:tab w:val="left" w:pos="971"/>
              </w:tabs>
              <w:spacing w:line="360" w:lineRule="auto"/>
              <w:rPr>
                <w:rFonts w:ascii="宋体" w:hAnsi="宋体" w:eastAsia="宋体" w:cs="宋体"/>
                <w:color w:val="0000FF"/>
                <w:sz w:val="18"/>
                <w:szCs w:val="18"/>
                <w:lang w:eastAsia="zh-CN"/>
              </w:rPr>
            </w:pPr>
            <w:r>
              <w:rPr>
                <w:rFonts w:ascii="宋体" w:hAnsi="宋体" w:eastAsia="宋体" w:cs="宋体"/>
                <w:color w:val="0000FF"/>
                <w:sz w:val="18"/>
                <w:szCs w:val="18"/>
                <w:lang w:eastAsia="zh-CN"/>
              </w:rPr>
              <w:t xml:space="preserve">1.规范操作与防护：在生物安全柜内进行 ；操作者须穿戴防护衣帽、口罩、手套； 采用正确的动物保定方法，防止挣扎。 2.安全使用器械：使用针头固定的或针筒 一体式注射器；抽液时动作轻柔，避免产 生气泡；严禁使用注射器混合感染性液体 。 </w:t>
            </w:r>
          </w:p>
        </w:tc>
        <w:tc>
          <w:tcPr>
            <w:tcW w:w="1691" w:type="pct"/>
            <w:tcBorders>
              <w:left w:val="single" w:color="auto" w:sz="4" w:space="0"/>
            </w:tcBorders>
            <w:vAlign w:val="center"/>
          </w:tcPr>
          <w:p w14:paraId="61CBB670">
            <w:pPr>
              <w:numPr>
                <w:ilvl w:val="0"/>
                <w:numId w:val="0"/>
              </w:numPr>
              <w:tabs>
                <w:tab w:val="left" w:pos="971"/>
              </w:tabs>
              <w:spacing w:line="360" w:lineRule="auto"/>
              <w:rPr>
                <w:rFonts w:ascii="宋体" w:hAnsi="宋体" w:eastAsia="宋体" w:cs="宋体"/>
                <w:color w:val="0000FF"/>
                <w:sz w:val="18"/>
                <w:szCs w:val="18"/>
                <w:lang w:eastAsia="zh-CN"/>
              </w:rPr>
            </w:pPr>
            <w:r>
              <w:rPr>
                <w:rFonts w:ascii="宋体" w:hAnsi="宋体" w:eastAsia="宋体" w:cs="宋体"/>
                <w:color w:val="0000FF"/>
                <w:sz w:val="18"/>
                <w:szCs w:val="18"/>
                <w:lang w:eastAsia="zh-CN"/>
              </w:rPr>
              <w:t>1、刺伤或切割伤：立即脱下手套，由 近心端向远心端挤压伤口，尽可能挤 出血液，用流动水冲洗，75%酒精或碘 伏消毒。立即报告主管负责人，并进 行医学评估和观察。</w:t>
            </w:r>
          </w:p>
          <w:p w14:paraId="35DECB5F">
            <w:pPr>
              <w:numPr>
                <w:ilvl w:val="0"/>
                <w:numId w:val="0"/>
              </w:numPr>
              <w:tabs>
                <w:tab w:val="left" w:pos="971"/>
              </w:tabs>
              <w:spacing w:line="360" w:lineRule="auto"/>
              <w:rPr>
                <w:rFonts w:ascii="宋体" w:hAnsi="宋体" w:eastAsia="宋体" w:cs="宋体"/>
                <w:color w:val="0000FF"/>
                <w:sz w:val="18"/>
                <w:szCs w:val="18"/>
                <w:lang w:eastAsia="zh-CN"/>
              </w:rPr>
            </w:pPr>
            <w:r>
              <w:rPr>
                <w:rFonts w:ascii="宋体" w:hAnsi="宋体" w:eastAsia="宋体" w:cs="宋体"/>
                <w:color w:val="0000FF"/>
                <w:sz w:val="18"/>
                <w:szCs w:val="18"/>
                <w:lang w:eastAsia="zh-CN"/>
              </w:rPr>
              <w:t>2、病毒溅洒：</w:t>
            </w:r>
          </w:p>
          <w:p w14:paraId="0C5F1F05">
            <w:pPr>
              <w:numPr>
                <w:ilvl w:val="0"/>
                <w:numId w:val="0"/>
              </w:numPr>
              <w:tabs>
                <w:tab w:val="left" w:pos="971"/>
              </w:tabs>
              <w:spacing w:line="360" w:lineRule="auto"/>
              <w:rPr>
                <w:rFonts w:ascii="宋体" w:hAnsi="宋体" w:eastAsia="宋体" w:cs="宋体"/>
                <w:color w:val="0000FF"/>
                <w:sz w:val="18"/>
                <w:szCs w:val="18"/>
                <w:lang w:eastAsia="zh-CN"/>
              </w:rPr>
            </w:pPr>
            <w:r>
              <w:rPr>
                <w:rFonts w:ascii="宋体" w:hAnsi="宋体" w:eastAsia="宋体" w:cs="宋体"/>
                <w:color w:val="0000FF"/>
                <w:sz w:val="18"/>
                <w:szCs w:val="18"/>
                <w:lang w:eastAsia="zh-CN"/>
              </w:rPr>
              <w:t>（1）皮肤接触：立即用大量清水和肥 皂冲洗至少15分钟。</w:t>
            </w:r>
          </w:p>
          <w:p w14:paraId="2C93703C">
            <w:pPr>
              <w:numPr>
                <w:ilvl w:val="0"/>
                <w:numId w:val="0"/>
              </w:numPr>
              <w:tabs>
                <w:tab w:val="left" w:pos="971"/>
              </w:tabs>
              <w:spacing w:line="360" w:lineRule="auto"/>
              <w:rPr>
                <w:rFonts w:ascii="宋体" w:hAnsi="宋体" w:eastAsia="宋体" w:cs="宋体"/>
                <w:color w:val="0000FF"/>
                <w:sz w:val="18"/>
                <w:szCs w:val="18"/>
                <w:lang w:eastAsia="zh-CN"/>
              </w:rPr>
            </w:pPr>
            <w:r>
              <w:rPr>
                <w:rFonts w:ascii="宋体" w:hAnsi="宋体" w:eastAsia="宋体" w:cs="宋体"/>
                <w:color w:val="0000FF"/>
                <w:sz w:val="18"/>
                <w:szCs w:val="18"/>
                <w:lang w:eastAsia="zh-CN"/>
              </w:rPr>
              <w:t>（2）眼内溅入：立即用洗眼器冲洗至 少15分钟。</w:t>
            </w:r>
          </w:p>
          <w:p w14:paraId="04B76127">
            <w:pPr>
              <w:numPr>
                <w:ilvl w:val="0"/>
                <w:numId w:val="0"/>
              </w:numPr>
              <w:tabs>
                <w:tab w:val="left" w:pos="971"/>
              </w:tabs>
              <w:spacing w:line="360" w:lineRule="auto"/>
              <w:rPr>
                <w:rFonts w:ascii="宋体" w:hAnsi="宋体" w:eastAsia="宋体" w:cs="宋体"/>
                <w:color w:val="0000FF"/>
                <w:sz w:val="18"/>
                <w:szCs w:val="18"/>
                <w:lang w:eastAsia="zh-CN"/>
              </w:rPr>
            </w:pPr>
            <w:r>
              <w:rPr>
                <w:rFonts w:ascii="宋体" w:hAnsi="宋体" w:eastAsia="宋体" w:cs="宋体"/>
                <w:color w:val="0000FF"/>
                <w:sz w:val="18"/>
                <w:szCs w:val="18"/>
                <w:lang w:eastAsia="zh-CN"/>
              </w:rPr>
              <w:t>（3）台面或地面溅洒：用纸巾覆盖， 从外围向中心倾倒足量消毒剂，作用 30分钟后清理。</w:t>
            </w:r>
          </w:p>
        </w:tc>
      </w:tr>
      <w:tr w14:paraId="065AE6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193" w:hRule="atLeast"/>
        </w:trPr>
        <w:tc>
          <w:tcPr>
            <w:tcW w:w="943" w:type="pct"/>
            <w:vAlign w:val="center"/>
          </w:tcPr>
          <w:p w14:paraId="6A1737D1">
            <w:pPr>
              <w:pStyle w:val="14"/>
              <w:spacing w:before="59" w:line="360" w:lineRule="auto"/>
              <w:jc w:val="center"/>
              <w:rPr>
                <w:rFonts w:ascii="Times New Roman" w:hAnsi="Times New Roman" w:cs="Times New Roman"/>
                <w:spacing w:val="-2"/>
                <w:sz w:val="21"/>
                <w:szCs w:val="21"/>
                <w:lang w:eastAsia="zh-CN"/>
              </w:rPr>
            </w:pPr>
            <w:r>
              <w:rPr>
                <w:rFonts w:hint="eastAsia" w:ascii="Times New Roman" w:hAnsi="Times New Roman" w:cs="Times New Roman"/>
                <w:spacing w:val="-2"/>
                <w:sz w:val="21"/>
                <w:szCs w:val="21"/>
                <w:lang w:eastAsia="zh-CN"/>
              </w:rPr>
              <w:t>参考文献列表</w:t>
            </w:r>
          </w:p>
        </w:tc>
        <w:tc>
          <w:tcPr>
            <w:tcW w:w="4056" w:type="pct"/>
            <w:gridSpan w:val="4"/>
            <w:vAlign w:val="center"/>
          </w:tcPr>
          <w:p w14:paraId="48DE364A">
            <w:pPr>
              <w:pStyle w:val="14"/>
              <w:numPr>
                <w:ilvl w:val="0"/>
                <w:numId w:val="4"/>
              </w:numPr>
              <w:spacing w:before="145"/>
              <w:jc w:val="both"/>
              <w:rPr>
                <w:rFonts w:ascii="宋体" w:hAnsi="宋体" w:eastAsia="宋体" w:cs="宋体"/>
                <w:snapToGrid w:val="0"/>
                <w:color w:val="0000FF"/>
                <w:sz w:val="18"/>
                <w:szCs w:val="18"/>
                <w:lang w:val="en-US" w:eastAsia="zh-CN" w:bidi="ar-SA"/>
              </w:rPr>
            </w:pPr>
            <w:r>
              <w:rPr>
                <w:rFonts w:ascii="宋体" w:hAnsi="宋体" w:eastAsia="宋体" w:cs="宋体"/>
                <w:snapToGrid w:val="0"/>
                <w:color w:val="0000FF"/>
                <w:sz w:val="18"/>
                <w:szCs w:val="18"/>
                <w:lang w:val="en-US" w:eastAsia="zh-CN" w:bidi="ar-SA"/>
              </w:rPr>
              <w:t>Moradali M F, Ghods S, Rehm B H. Pseudomonas aeruginosa Lifestyle: A Paradigm for Adaptation, Survival, and Persistence[J]. Frontiers in Cellular and Infection Microbiology, 2017, 7: 39.</w:t>
            </w:r>
          </w:p>
          <w:p w14:paraId="601240C0">
            <w:pPr>
              <w:pStyle w:val="14"/>
              <w:numPr>
                <w:ilvl w:val="0"/>
                <w:numId w:val="0"/>
              </w:numPr>
              <w:spacing w:before="145"/>
              <w:jc w:val="both"/>
              <w:rPr>
                <w:rFonts w:ascii="宋体" w:hAnsi="宋体" w:eastAsia="宋体" w:cs="宋体"/>
                <w:snapToGrid w:val="0"/>
                <w:color w:val="0000FF"/>
                <w:sz w:val="18"/>
                <w:szCs w:val="18"/>
                <w:lang w:val="en-US" w:eastAsia="zh-CN" w:bidi="ar-SA"/>
              </w:rPr>
            </w:pPr>
            <w:r>
              <w:rPr>
                <w:rFonts w:ascii="宋体" w:hAnsi="宋体" w:eastAsia="宋体" w:cs="宋体"/>
                <w:snapToGrid w:val="0"/>
                <w:color w:val="0000FF"/>
                <w:sz w:val="18"/>
                <w:szCs w:val="18"/>
                <w:lang w:val="en-US" w:eastAsia="zh-CN" w:bidi="ar-SA"/>
              </w:rPr>
              <w:t>2、姓名. 书面[M]. 第9版. 北京： 人民卫生出版社， 2018: 125-128.</w:t>
            </w:r>
          </w:p>
          <w:p w14:paraId="17C547A9">
            <w:pPr>
              <w:pStyle w:val="14"/>
              <w:numPr>
                <w:ilvl w:val="0"/>
                <w:numId w:val="0"/>
              </w:numPr>
              <w:spacing w:before="145"/>
              <w:jc w:val="both"/>
              <w:rPr>
                <w:rFonts w:ascii="Times New Roman" w:hAnsi="Times New Roman" w:cs="Times New Roman"/>
                <w:spacing w:val="-11"/>
                <w:sz w:val="21"/>
                <w:szCs w:val="21"/>
                <w:lang w:eastAsia="zh-CN"/>
              </w:rPr>
            </w:pPr>
            <w:r>
              <w:rPr>
                <w:rFonts w:ascii="宋体" w:hAnsi="宋体" w:eastAsia="宋体" w:cs="宋体"/>
                <w:snapToGrid w:val="0"/>
                <w:color w:val="0000FF"/>
                <w:sz w:val="18"/>
                <w:szCs w:val="18"/>
                <w:lang w:val="en-US" w:eastAsia="zh-CN" w:bidi="ar-SA"/>
              </w:rPr>
              <w:t>3、姓名. 论文名字[D]. 上海： 复旦大学， 2021.</w:t>
            </w:r>
          </w:p>
        </w:tc>
      </w:tr>
    </w:tbl>
    <w:p w14:paraId="589293F2">
      <w:pPr>
        <w:pStyle w:val="14"/>
        <w:spacing w:before="147" w:line="360" w:lineRule="auto"/>
        <w:jc w:val="both"/>
        <w:rPr>
          <w:rFonts w:ascii="Times New Roman" w:hAnsi="Times New Roman" w:cs="Times New Roman"/>
          <w:spacing w:val="-2"/>
          <w:lang w:eastAsia="zh-CN"/>
        </w:rPr>
      </w:pPr>
      <w:bookmarkStart w:id="0" w:name="_GoBack"/>
      <w:bookmarkEnd w:id="0"/>
    </w:p>
    <w:sectPr>
      <w:headerReference r:id="rId3" w:type="default"/>
      <w:footerReference r:id="rId4" w:type="default"/>
      <w:pgSz w:w="11907" w:h="16839"/>
      <w:pgMar w:top="1716" w:right="1130" w:bottom="1340" w:left="1785" w:header="1391" w:footer="1106"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AC9AAE">
    <w:pPr>
      <w:pStyle w:val="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6A97D62">
                          <w:pPr>
                            <w:pStyle w:val="5"/>
                            <w:rPr>
                              <w:rFonts w:ascii="Times New Roman" w:hAnsi="Times New Roman" w:cs="Times New Roman"/>
                            </w:rPr>
                          </w:pPr>
                          <w:r>
                            <w:rPr>
                              <w:rFonts w:ascii="Times New Roman" w:hAnsi="Times New Roman" w:cs="Times New Roman"/>
                            </w:rPr>
                            <w:t xml:space="preserve">第 </w:t>
                          </w: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Pr>
                              <w:rFonts w:ascii="Times New Roman" w:hAnsi="Times New Roman" w:cs="Times New Roman"/>
                            </w:rPr>
                            <w:t>1</w:t>
                          </w:r>
                          <w:r>
                            <w:rPr>
                              <w:rFonts w:ascii="Times New Roman" w:hAnsi="Times New Roman" w:cs="Times New Roman"/>
                            </w:rPr>
                            <w:fldChar w:fldCharType="end"/>
                          </w:r>
                          <w:r>
                            <w:rPr>
                              <w:rFonts w:ascii="Times New Roman" w:hAnsi="Times New Roman" w:cs="Times New Roman"/>
                            </w:rPr>
                            <w:t xml:space="preserve"> 页 共 </w:t>
                          </w:r>
                          <w:r>
                            <w:rPr>
                              <w:rFonts w:ascii="Times New Roman" w:hAnsi="Times New Roman" w:cs="Times New Roman"/>
                            </w:rPr>
                            <w:fldChar w:fldCharType="begin"/>
                          </w:r>
                          <w:r>
                            <w:rPr>
                              <w:rFonts w:ascii="Times New Roman" w:hAnsi="Times New Roman" w:cs="Times New Roman"/>
                            </w:rPr>
                            <w:instrText xml:space="preserve"> NUMPAGES  \* MERGEFORMAT </w:instrText>
                          </w:r>
                          <w:r>
                            <w:rPr>
                              <w:rFonts w:ascii="Times New Roman" w:hAnsi="Times New Roman" w:cs="Times New Roman"/>
                            </w:rPr>
                            <w:fldChar w:fldCharType="separate"/>
                          </w:r>
                          <w:r>
                            <w:rPr>
                              <w:rFonts w:ascii="Times New Roman" w:hAnsi="Times New Roman" w:cs="Times New Roman"/>
                            </w:rPr>
                            <w:t>6</w:t>
                          </w:r>
                          <w:r>
                            <w:rPr>
                              <w:rFonts w:ascii="Times New Roman" w:hAnsi="Times New Roman" w:cs="Times New Roman"/>
                            </w:rPr>
                            <w:fldChar w:fldCharType="end"/>
                          </w:r>
                          <w:r>
                            <w:rPr>
                              <w:rFonts w:ascii="Times New Roman" w:hAnsi="Times New Roman" w:cs="Times New Roman"/>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16A97D62">
                    <w:pPr>
                      <w:pStyle w:val="5"/>
                      <w:rPr>
                        <w:rFonts w:ascii="Times New Roman" w:hAnsi="Times New Roman" w:cs="Times New Roman"/>
                      </w:rPr>
                    </w:pPr>
                    <w:r>
                      <w:rPr>
                        <w:rFonts w:ascii="Times New Roman" w:hAnsi="Times New Roman" w:cs="Times New Roman"/>
                      </w:rPr>
                      <w:t xml:space="preserve">第 </w:t>
                    </w: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Pr>
                        <w:rFonts w:ascii="Times New Roman" w:hAnsi="Times New Roman" w:cs="Times New Roman"/>
                      </w:rPr>
                      <w:t>1</w:t>
                    </w:r>
                    <w:r>
                      <w:rPr>
                        <w:rFonts w:ascii="Times New Roman" w:hAnsi="Times New Roman" w:cs="Times New Roman"/>
                      </w:rPr>
                      <w:fldChar w:fldCharType="end"/>
                    </w:r>
                    <w:r>
                      <w:rPr>
                        <w:rFonts w:ascii="Times New Roman" w:hAnsi="Times New Roman" w:cs="Times New Roman"/>
                      </w:rPr>
                      <w:t xml:space="preserve"> 页 共 </w:t>
                    </w:r>
                    <w:r>
                      <w:rPr>
                        <w:rFonts w:ascii="Times New Roman" w:hAnsi="Times New Roman" w:cs="Times New Roman"/>
                      </w:rPr>
                      <w:fldChar w:fldCharType="begin"/>
                    </w:r>
                    <w:r>
                      <w:rPr>
                        <w:rFonts w:ascii="Times New Roman" w:hAnsi="Times New Roman" w:cs="Times New Roman"/>
                      </w:rPr>
                      <w:instrText xml:space="preserve"> NUMPAGES  \* MERGEFORMAT </w:instrText>
                    </w:r>
                    <w:r>
                      <w:rPr>
                        <w:rFonts w:ascii="Times New Roman" w:hAnsi="Times New Roman" w:cs="Times New Roman"/>
                      </w:rPr>
                      <w:fldChar w:fldCharType="separate"/>
                    </w:r>
                    <w:r>
                      <w:rPr>
                        <w:rFonts w:ascii="Times New Roman" w:hAnsi="Times New Roman" w:cs="Times New Roman"/>
                      </w:rPr>
                      <w:t>6</w:t>
                    </w:r>
                    <w:r>
                      <w:rPr>
                        <w:rFonts w:ascii="Times New Roman" w:hAnsi="Times New Roman" w:cs="Times New Roman"/>
                      </w:rPr>
                      <w:fldChar w:fldCharType="end"/>
                    </w:r>
                    <w:r>
                      <w:rPr>
                        <w:rFonts w:ascii="Times New Roman" w:hAnsi="Times New Roman" w:cs="Times New Roman"/>
                      </w:rP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52DAF6">
    <w:pPr>
      <w:pStyle w:val="4"/>
      <w:spacing w:before="56" w:line="227" w:lineRule="auto"/>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D850812"/>
    <w:multiLevelType w:val="singleLevel"/>
    <w:tmpl w:val="9D850812"/>
    <w:lvl w:ilvl="0" w:tentative="0">
      <w:start w:val="1"/>
      <w:numFmt w:val="decimal"/>
      <w:suff w:val="nothing"/>
      <w:lvlText w:val="%1、"/>
      <w:lvlJc w:val="left"/>
    </w:lvl>
  </w:abstractNum>
  <w:abstractNum w:abstractNumId="1">
    <w:nsid w:val="DC0AAC0E"/>
    <w:multiLevelType w:val="singleLevel"/>
    <w:tmpl w:val="DC0AAC0E"/>
    <w:lvl w:ilvl="0" w:tentative="0">
      <w:start w:val="1"/>
      <w:numFmt w:val="decimal"/>
      <w:suff w:val="nothing"/>
      <w:lvlText w:val="（%1）"/>
      <w:lvlJc w:val="left"/>
    </w:lvl>
  </w:abstractNum>
  <w:abstractNum w:abstractNumId="2">
    <w:nsid w:val="476FD303"/>
    <w:multiLevelType w:val="singleLevel"/>
    <w:tmpl w:val="476FD303"/>
    <w:lvl w:ilvl="0" w:tentative="0">
      <w:start w:val="1"/>
      <w:numFmt w:val="decimal"/>
      <w:suff w:val="nothing"/>
      <w:lvlText w:val="%1、"/>
      <w:lvlJc w:val="left"/>
    </w:lvl>
  </w:abstractNum>
  <w:abstractNum w:abstractNumId="3">
    <w:nsid w:val="7E0A8CF9"/>
    <w:multiLevelType w:val="singleLevel"/>
    <w:tmpl w:val="7E0A8CF9"/>
    <w:lvl w:ilvl="0" w:tentative="0">
      <w:start w:val="1"/>
      <w:numFmt w:val="decimal"/>
      <w:suff w:val="nothing"/>
      <w:lvlText w:val="（%1）"/>
      <w:lvlJc w:val="left"/>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0"/>
  <w:bordersDoNotSurroundFooter w:val="0"/>
  <w:documentProtection w:enforcement="0"/>
  <w:defaultTabStop w:val="420"/>
  <w:displayHorizontalDrawingGridEvery w:val="1"/>
  <w:displayVerticalDrawingGridEvery w:val="1"/>
  <w:noPunctuationKerning w:val="1"/>
  <w:characterSpacingControl w:val="doNotCompress"/>
  <w:compat>
    <w:spaceForUL/>
    <w:ulTrailSpace/>
    <w:doNotExpandShiftReturn/>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1638"/>
    <w:rsid w:val="00012C2A"/>
    <w:rsid w:val="00027D53"/>
    <w:rsid w:val="002257A9"/>
    <w:rsid w:val="002525C0"/>
    <w:rsid w:val="00256612"/>
    <w:rsid w:val="00391AB2"/>
    <w:rsid w:val="005F7F0C"/>
    <w:rsid w:val="00890E46"/>
    <w:rsid w:val="00984651"/>
    <w:rsid w:val="00A4569D"/>
    <w:rsid w:val="00B705B2"/>
    <w:rsid w:val="00BA2FC4"/>
    <w:rsid w:val="00DB1638"/>
    <w:rsid w:val="00EB5F2D"/>
    <w:rsid w:val="03013380"/>
    <w:rsid w:val="05D3081E"/>
    <w:rsid w:val="08337B59"/>
    <w:rsid w:val="08A5565A"/>
    <w:rsid w:val="08EF448A"/>
    <w:rsid w:val="0ADB2CF4"/>
    <w:rsid w:val="0D605C97"/>
    <w:rsid w:val="0F8C6CB2"/>
    <w:rsid w:val="101206AB"/>
    <w:rsid w:val="10C83D1A"/>
    <w:rsid w:val="1158058B"/>
    <w:rsid w:val="11954D2B"/>
    <w:rsid w:val="1CC61A56"/>
    <w:rsid w:val="214F2D99"/>
    <w:rsid w:val="218B6F16"/>
    <w:rsid w:val="21DA3EA1"/>
    <w:rsid w:val="24557862"/>
    <w:rsid w:val="26B076F9"/>
    <w:rsid w:val="26CB4C01"/>
    <w:rsid w:val="284204F2"/>
    <w:rsid w:val="2C9B0F3B"/>
    <w:rsid w:val="2FEA4DD0"/>
    <w:rsid w:val="302B3036"/>
    <w:rsid w:val="318134A3"/>
    <w:rsid w:val="34480B4A"/>
    <w:rsid w:val="35364962"/>
    <w:rsid w:val="354E592B"/>
    <w:rsid w:val="35B37F8A"/>
    <w:rsid w:val="3CDD4B9F"/>
    <w:rsid w:val="3D33048A"/>
    <w:rsid w:val="3D8748D6"/>
    <w:rsid w:val="447033D6"/>
    <w:rsid w:val="45EC3A2B"/>
    <w:rsid w:val="485853A8"/>
    <w:rsid w:val="4DB444EC"/>
    <w:rsid w:val="530F606A"/>
    <w:rsid w:val="54BC0A6D"/>
    <w:rsid w:val="551423C4"/>
    <w:rsid w:val="56F473D8"/>
    <w:rsid w:val="578909AC"/>
    <w:rsid w:val="58976571"/>
    <w:rsid w:val="5B415572"/>
    <w:rsid w:val="5BCA38B3"/>
    <w:rsid w:val="5C247A88"/>
    <w:rsid w:val="5DB837D7"/>
    <w:rsid w:val="5EE1402F"/>
    <w:rsid w:val="5F7D0984"/>
    <w:rsid w:val="63F97611"/>
    <w:rsid w:val="6A6124E1"/>
    <w:rsid w:val="6E1419D8"/>
    <w:rsid w:val="6E623983"/>
    <w:rsid w:val="6F7B1CBF"/>
    <w:rsid w:val="70CB360E"/>
    <w:rsid w:val="732A7510"/>
    <w:rsid w:val="763322A5"/>
    <w:rsid w:val="76642780"/>
    <w:rsid w:val="792D475A"/>
    <w:rsid w:val="7BE2764E"/>
    <w:rsid w:val="7E292FEF"/>
    <w:rsid w:val="7E4000F6"/>
    <w:rsid w:val="7ED14F9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paragraph" w:styleId="2">
    <w:name w:val="heading 4"/>
    <w:basedOn w:val="1"/>
    <w:next w:val="1"/>
    <w:semiHidden/>
    <w:unhideWhenUsed/>
    <w:qFormat/>
    <w:uiPriority w:val="0"/>
    <w:pPr>
      <w:spacing w:beforeAutospacing="1" w:afterAutospacing="1"/>
      <w:outlineLvl w:val="3"/>
    </w:pPr>
    <w:rPr>
      <w:rFonts w:hint="eastAsia" w:ascii="宋体" w:hAnsi="宋体" w:eastAsia="宋体" w:cs="Times New Roman"/>
      <w:b/>
      <w:bCs/>
      <w:sz w:val="24"/>
      <w:szCs w:val="24"/>
      <w:lang w:eastAsia="zh-CN"/>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qFormat/>
    <w:uiPriority w:val="0"/>
  </w:style>
  <w:style w:type="paragraph" w:styleId="4">
    <w:name w:val="Body Text"/>
    <w:basedOn w:val="1"/>
    <w:semiHidden/>
    <w:qFormat/>
    <w:uiPriority w:val="0"/>
    <w:rPr>
      <w:rFonts w:ascii="黑体" w:hAnsi="黑体" w:eastAsia="黑体" w:cs="黑体"/>
    </w:rPr>
  </w:style>
  <w:style w:type="paragraph" w:styleId="5">
    <w:name w:val="footer"/>
    <w:basedOn w:val="1"/>
    <w:link w:val="17"/>
    <w:qFormat/>
    <w:uiPriority w:val="0"/>
    <w:pPr>
      <w:tabs>
        <w:tab w:val="center" w:pos="4153"/>
        <w:tab w:val="right" w:pos="8306"/>
      </w:tabs>
    </w:pPr>
    <w:rPr>
      <w:sz w:val="18"/>
      <w:szCs w:val="18"/>
    </w:rPr>
  </w:style>
  <w:style w:type="paragraph" w:styleId="6">
    <w:name w:val="header"/>
    <w:basedOn w:val="1"/>
    <w:link w:val="16"/>
    <w:qFormat/>
    <w:uiPriority w:val="0"/>
    <w:pPr>
      <w:tabs>
        <w:tab w:val="center" w:pos="4153"/>
        <w:tab w:val="right" w:pos="8306"/>
      </w:tabs>
      <w:jc w:val="center"/>
    </w:pPr>
    <w:rPr>
      <w:sz w:val="18"/>
      <w:szCs w:val="18"/>
    </w:rPr>
  </w:style>
  <w:style w:type="paragraph" w:styleId="7">
    <w:name w:val="Normal (Web)"/>
    <w:basedOn w:val="1"/>
    <w:qFormat/>
    <w:uiPriority w:val="0"/>
    <w:rPr>
      <w:sz w:val="24"/>
    </w:rPr>
  </w:style>
  <w:style w:type="character" w:styleId="10">
    <w:name w:val="Strong"/>
    <w:basedOn w:val="9"/>
    <w:qFormat/>
    <w:uiPriority w:val="0"/>
    <w:rPr>
      <w:b/>
    </w:rPr>
  </w:style>
  <w:style w:type="character" w:styleId="11">
    <w:name w:val="Emphasis"/>
    <w:basedOn w:val="9"/>
    <w:qFormat/>
    <w:uiPriority w:val="0"/>
    <w:rPr>
      <w:i/>
    </w:rPr>
  </w:style>
  <w:style w:type="character" w:styleId="12">
    <w:name w:val="Hyperlink"/>
    <w:basedOn w:val="9"/>
    <w:qFormat/>
    <w:uiPriority w:val="0"/>
    <w:rPr>
      <w:color w:val="0000FF"/>
      <w:u w:val="single"/>
    </w:rPr>
  </w:style>
  <w:style w:type="table" w:customStyle="1" w:styleId="13">
    <w:name w:val="Table Normal"/>
    <w:semiHidden/>
    <w:unhideWhenUsed/>
    <w:qFormat/>
    <w:uiPriority w:val="0"/>
    <w:tblPr>
      <w:tblCellMar>
        <w:top w:w="0" w:type="dxa"/>
        <w:left w:w="0" w:type="dxa"/>
        <w:bottom w:w="0" w:type="dxa"/>
        <w:right w:w="0" w:type="dxa"/>
      </w:tblCellMar>
    </w:tblPr>
  </w:style>
  <w:style w:type="paragraph" w:customStyle="1" w:styleId="14">
    <w:name w:val="Table Text"/>
    <w:basedOn w:val="1"/>
    <w:semiHidden/>
    <w:qFormat/>
    <w:uiPriority w:val="0"/>
    <w:rPr>
      <w:rFonts w:ascii="宋体" w:hAnsi="宋体" w:eastAsia="宋体" w:cs="宋体"/>
      <w:sz w:val="18"/>
      <w:szCs w:val="18"/>
    </w:rPr>
  </w:style>
  <w:style w:type="character" w:customStyle="1" w:styleId="15">
    <w:name w:val="font11"/>
    <w:basedOn w:val="9"/>
    <w:autoRedefine/>
    <w:qFormat/>
    <w:uiPriority w:val="0"/>
    <w:rPr>
      <w:rFonts w:hint="eastAsia" w:ascii="宋体" w:hAnsi="宋体" w:eastAsia="宋体" w:cs="宋体"/>
      <w:color w:val="000000"/>
      <w:sz w:val="21"/>
      <w:szCs w:val="21"/>
      <w:u w:val="none"/>
    </w:rPr>
  </w:style>
  <w:style w:type="character" w:customStyle="1" w:styleId="16">
    <w:name w:val="页眉 字符"/>
    <w:basedOn w:val="9"/>
    <w:link w:val="6"/>
    <w:qFormat/>
    <w:uiPriority w:val="0"/>
    <w:rPr>
      <w:rFonts w:ascii="Arial" w:hAnsi="Arial" w:eastAsia="Arial" w:cs="Arial"/>
      <w:snapToGrid w:val="0"/>
      <w:color w:val="000000"/>
      <w:sz w:val="18"/>
      <w:szCs w:val="18"/>
      <w:lang w:eastAsia="en-US"/>
    </w:rPr>
  </w:style>
  <w:style w:type="character" w:customStyle="1" w:styleId="17">
    <w:name w:val="页脚 字符"/>
    <w:basedOn w:val="9"/>
    <w:link w:val="5"/>
    <w:qFormat/>
    <w:uiPriority w:val="0"/>
    <w:rPr>
      <w:rFonts w:ascii="Arial" w:hAnsi="Arial" w:eastAsia="Arial" w:cs="Arial"/>
      <w:snapToGrid w:val="0"/>
      <w:color w:val="000000"/>
      <w:sz w:val="18"/>
      <w:szCs w:val="18"/>
      <w:lang w:eastAsia="en-US"/>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1142</Words>
  <Characters>1236</Characters>
  <Lines>256</Lines>
  <Paragraphs>198</Paragraphs>
  <TotalTime>142</TotalTime>
  <ScaleCrop>false</ScaleCrop>
  <LinksUpToDate>false</LinksUpToDate>
  <CharactersWithSpaces>1538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2026-01-22T23:17:00Z</dcterms:created>
  <dc:creator>CNIS</dc:creator>
  <cp:lastModifiedBy>浓茶</cp:lastModifiedBy>
  <dcterms:modified xsi:type="dcterms:W3CDTF">2026-09-28T08:11:43Z</dcterms:modified>
  <dc:title>标准名称</dc:title>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wqlLaW5nc29mdCBQREYgdG8gV1BTIDExNQ</vt:lpwstr>
  </property>
  <property fmtid="{D5CDD505-2E9C-101B-9397-08002B2CF9AE}" pid="3" name="Created">
    <vt:filetime>2025-10-29T09:42:06Z</vt:filetime>
  </property>
  <property fmtid="{D5CDD505-2E9C-101B-9397-08002B2CF9AE}" pid="4" name="KSOTemplateDocerSaveRecord">
    <vt:lpwstr>eyJoZGlkIjoiOGIzZGM4MmMxMmIyYWIyOTlhMWY1ZmI0MmEyNWNkNzMiLCJ1c2VySWQiOiIzOTkwMzg1MDMifQ==</vt:lpwstr>
  </property>
  <property fmtid="{D5CDD505-2E9C-101B-9397-08002B2CF9AE}" pid="5" name="KSOProductBuildVer">
    <vt:lpwstr>2052-12.1.0.28043</vt:lpwstr>
  </property>
  <property fmtid="{D5CDD505-2E9C-101B-9397-08002B2CF9AE}" pid="6" name="ICV">
    <vt:lpwstr>97328A7C119E48D4B41D7B3149270DE3_13</vt:lpwstr>
  </property>
</Properties>
</file>