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专项四：冷门绝学研究专项申报须知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lang w:eastAsia="zh-CN"/>
        </w:rPr>
      </w:pPr>
      <w:r>
        <w:rPr>
          <w:rStyle w:val="5"/>
          <w:rFonts w:hint="eastAsia" w:ascii="黑体" w:hAnsi="黑体" w:eastAsia="黑体" w:cs="黑体"/>
          <w:b w:val="0"/>
          <w:bCs/>
          <w:i w:val="0"/>
          <w:caps w:val="0"/>
          <w:color w:val="auto"/>
          <w:spacing w:val="36"/>
          <w:sz w:val="32"/>
          <w:szCs w:val="32"/>
          <w:u w:val="none"/>
          <w:shd w:val="clear" w:color="auto" w:fill="FFFFFF"/>
        </w:rPr>
        <w:t>一、</w:t>
      </w:r>
      <w:r>
        <w:rPr>
          <w:rStyle w:val="5"/>
          <w:rFonts w:hint="eastAsia" w:ascii="黑体" w:hAnsi="黑体" w:eastAsia="黑体" w:cs="黑体"/>
          <w:b w:val="0"/>
          <w:bCs/>
          <w:i w:val="0"/>
          <w:caps w:val="0"/>
          <w:color w:val="auto"/>
          <w:spacing w:val="36"/>
          <w:sz w:val="32"/>
          <w:szCs w:val="32"/>
          <w:u w:val="none"/>
          <w:shd w:val="clear" w:color="auto" w:fill="FFFFFF"/>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w:t>
      </w:r>
      <w:r>
        <w:rPr>
          <w:rFonts w:hint="eastAsia" w:ascii="仿宋_GB2312" w:hAnsi="仿宋_GB2312" w:eastAsia="仿宋_GB2312" w:cs="仿宋_GB2312"/>
          <w:color w:val="auto"/>
          <w:kern w:val="2"/>
          <w:sz w:val="32"/>
          <w:szCs w:val="32"/>
          <w:lang w:val="en-US" w:eastAsia="zh-CN" w:bidi="ar-SA"/>
        </w:rPr>
        <w:t>深入贯彻落实习近平总书记关于哲学社会科学工作的重要论述精神，紧紧围绕加快构建中国特色哲学社会科学，始终遵循立足中国、借鉴国外，挖</w:t>
      </w:r>
      <w:bookmarkStart w:id="0" w:name="_GoBack"/>
      <w:bookmarkEnd w:id="0"/>
      <w:r>
        <w:rPr>
          <w:rFonts w:hint="eastAsia" w:ascii="仿宋_GB2312" w:hAnsi="仿宋_GB2312" w:eastAsia="仿宋_GB2312" w:cs="仿宋_GB2312"/>
          <w:color w:val="auto"/>
          <w:kern w:val="2"/>
          <w:sz w:val="32"/>
          <w:szCs w:val="32"/>
          <w:lang w:val="en-US" w:eastAsia="zh-CN" w:bidi="ar-SA"/>
        </w:rPr>
        <w:t>掘历史、把握当代，关怀人类、面向未来的思路，切实加强中国特色哲学社会科学学科体系、学术体系、话语体系建设，重视发展具有重要文化价值和传承意义的绝学、冷门学科，确保有人做、有传承。一要聚焦广东需求。坚持广东需要、广东水准，开展对我省发展和文明传承具有战略性、储备性、长远性的“冷门绝学”研究。二要突出学科建设。着眼“冷门绝学”学科长远发展，推动相关学科领域优化学科结构、凝练学科发展方向、科学规划学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Fonts w:hint="eastAsia" w:ascii="黑体" w:hAnsi="黑体" w:eastAsia="黑体" w:cs="黑体"/>
          <w:b w:val="0"/>
          <w:bCs/>
          <w:i w:val="0"/>
          <w:caps w:val="0"/>
          <w:color w:val="auto"/>
          <w:spacing w:val="36"/>
          <w:sz w:val="32"/>
          <w:szCs w:val="32"/>
          <w:u w:val="none"/>
          <w:shd w:val="clear" w:color="auto" w:fill="FFFFFF"/>
          <w:lang w:eastAsia="zh-CN"/>
        </w:rPr>
        <w:t>二</w:t>
      </w:r>
      <w:r>
        <w:rPr>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Style w:val="5"/>
          <w:rFonts w:hint="eastAsia" w:ascii="黑体" w:hAnsi="黑体" w:eastAsia="黑体" w:cs="黑体"/>
          <w:b w:val="0"/>
          <w:bCs/>
          <w:i w:val="0"/>
          <w:caps w:val="0"/>
          <w:color w:val="auto"/>
          <w:spacing w:val="36"/>
          <w:sz w:val="32"/>
          <w:szCs w:val="32"/>
          <w:u w:val="none"/>
          <w:shd w:val="clear" w:color="auto" w:fill="FFFFFF"/>
          <w:lang w:eastAsia="zh-CN"/>
        </w:rPr>
        <w:t>三</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color w:val="auto"/>
          <w:kern w:val="2"/>
          <w:sz w:val="32"/>
          <w:szCs w:val="32"/>
          <w:lang w:val="en-US" w:eastAsia="zh-CN" w:bidi="ar-SA"/>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1.在相关研究领域具有较强的科研力量和深厚的学术积累。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2.设有专门负责科研管理工作的职能部门，能够为开展项目研究工作提供良好条件。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是课题的实际负责人，能够独立开展研究工作，具有副高级（含）以上专业技术职称（职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项目、国家自然科学基金项目的负责人（包括子课题负责人），全国教育科学规划课题、中央各部委项目的负责人（包括子课题负责人），省社科规划项目、省自然科学基金项目、其他省部级科研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6.项目申请人不能同时申报本年度“建设粤港澳大湾区”和“支持深圳建设中国特色社会主义先行示范区”研究专项、重大基础理论研究专项、粤东西北研究专项3类项目。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rPr>
        <w:t>四、申报要求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疍民研究、传统文献和出土文献整理与研究等，均属于冷门绝学的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（二）本次申报须按照《申请书》规定内容和要求填写</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A1094"/>
    <w:rsid w:val="49FA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2022-09-19T09:43:00Z</dcterms:created>
  <dc:creator>caoxj</dc:creator>
  <cp:lastModifiedBy>caoxj</cp:lastModifiedBy>
  <dcterms:modified xsi:type="dcterms:W3CDTF">2022-09-19T09:44:08Z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