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710F83BD" w14:textId="0BFED677" w:rsidR="0083779E" w:rsidRPr="00E62C1D" w:rsidRDefault="0083779E" w:rsidP="0083779E">
      <w:pPr>
        <w:spacing w:line="360" w:lineRule="auto"/>
        <w:ind w:firstLineChars="200" w:firstLine="562"/>
        <w:jc w:val="center"/>
        <w:rPr>
          <w:rFonts w:ascii="宋体" w:eastAsia="宋体" w:hAnsi="宋体"/>
          <w:b/>
          <w:sz w:val="28"/>
          <w:szCs w:val="28"/>
        </w:rPr>
      </w:pPr>
      <w:r w:rsidRPr="00E62C1D">
        <w:rPr>
          <w:rFonts w:ascii="宋体" w:eastAsia="宋体" w:hAnsi="宋体" w:hint="eastAsia"/>
          <w:b/>
          <w:sz w:val="28"/>
          <w:szCs w:val="28"/>
        </w:rPr>
        <w:t>应用物理学</w:t>
      </w:r>
    </w:p>
    <w:p w14:paraId="44F2F3B5" w14:textId="299A851B" w:rsidR="000D4F83" w:rsidRPr="00E62C1D" w:rsidRDefault="000D4F83" w:rsidP="00023C41">
      <w:pPr>
        <w:spacing w:line="360" w:lineRule="auto"/>
        <w:ind w:firstLineChars="200" w:firstLine="480"/>
        <w:rPr>
          <w:rFonts w:ascii="宋体" w:eastAsia="宋体" w:hAnsi="宋体"/>
          <w:sz w:val="24"/>
          <w:szCs w:val="28"/>
        </w:rPr>
      </w:pPr>
      <w:r w:rsidRPr="00E62C1D">
        <w:rPr>
          <w:rFonts w:ascii="宋体" w:eastAsia="宋体" w:hAnsi="宋体" w:hint="eastAsia"/>
          <w:sz w:val="24"/>
          <w:szCs w:val="28"/>
        </w:rPr>
        <w:t>华南理工大学应用物理学始于</w:t>
      </w:r>
      <w:r w:rsidRPr="00E62C1D">
        <w:rPr>
          <w:rFonts w:ascii="宋体" w:eastAsia="宋体" w:hAnsi="宋体"/>
          <w:sz w:val="24"/>
          <w:szCs w:val="28"/>
        </w:rPr>
        <w:t>1952年学校成立之初的大学物理教研室。1958年组建工程物理系，1979年重建并更名为应用物理系，2014年成立物理与光电学院。物理学科于2011年进入国际ESI全球排名前1%，2018年成为广州市重点学科。华南理工大学应用物理学本科专业创办于1986年，近年来专业实现了跨越式发展。2016年进入广东省重点专业建设行列；2018年纳入广东省高校特色专业建设。2019年首批入选国家级一流专业建设点。</w:t>
      </w:r>
    </w:p>
    <w:p w14:paraId="5FF1F0B4" w14:textId="2B53F401" w:rsidR="001F273A" w:rsidRPr="00E62C1D" w:rsidRDefault="001F273A" w:rsidP="001F273A">
      <w:pPr>
        <w:spacing w:line="360" w:lineRule="auto"/>
        <w:ind w:firstLineChars="200" w:firstLine="480"/>
        <w:rPr>
          <w:rFonts w:ascii="宋体" w:eastAsia="宋体" w:hAnsi="宋体"/>
          <w:sz w:val="24"/>
          <w:szCs w:val="28"/>
        </w:rPr>
      </w:pPr>
      <w:bookmarkStart w:id="0" w:name="_Hlk91614572"/>
      <w:r w:rsidRPr="00E62C1D">
        <w:rPr>
          <w:rFonts w:ascii="宋体" w:eastAsia="宋体" w:hAnsi="宋体"/>
          <w:sz w:val="24"/>
          <w:szCs w:val="28"/>
        </w:rPr>
        <w:t>本专业现有在校生184人，</w:t>
      </w:r>
      <w:bookmarkEnd w:id="0"/>
      <w:r w:rsidRPr="00E62C1D">
        <w:rPr>
          <w:rFonts w:ascii="宋体" w:eastAsia="宋体" w:hAnsi="宋体"/>
          <w:sz w:val="24"/>
          <w:szCs w:val="28"/>
        </w:rPr>
        <w:t>本专业所依托的物理与光电学院拥有物理学一级学科博士硕士学位授</w:t>
      </w:r>
      <w:r w:rsidRPr="00E62C1D">
        <w:rPr>
          <w:rFonts w:ascii="宋体" w:eastAsia="宋体" w:hAnsi="宋体" w:hint="eastAsia"/>
          <w:sz w:val="24"/>
          <w:szCs w:val="28"/>
        </w:rPr>
        <w:t>权，</w:t>
      </w:r>
      <w:r w:rsidRPr="00E62C1D">
        <w:rPr>
          <w:rFonts w:ascii="宋体" w:eastAsia="宋体" w:hAnsi="宋体"/>
          <w:sz w:val="24"/>
          <w:szCs w:val="28"/>
        </w:rPr>
        <w:t>2019年起设立“物理学”博士后流动站</w:t>
      </w:r>
      <w:r w:rsidRPr="00E62C1D">
        <w:rPr>
          <w:rFonts w:ascii="宋体" w:eastAsia="宋体" w:hAnsi="宋体" w:hint="eastAsia"/>
          <w:sz w:val="24"/>
          <w:szCs w:val="28"/>
        </w:rPr>
        <w:t>。本专业</w:t>
      </w:r>
      <w:r w:rsidRPr="00E62C1D">
        <w:rPr>
          <w:rFonts w:ascii="宋体" w:eastAsia="宋体" w:hAnsi="宋体"/>
          <w:sz w:val="24"/>
          <w:szCs w:val="28"/>
        </w:rPr>
        <w:t>为广州市重点学科</w:t>
      </w:r>
      <w:r w:rsidRPr="00E62C1D">
        <w:rPr>
          <w:rFonts w:ascii="宋体" w:eastAsia="宋体" w:hAnsi="宋体" w:hint="eastAsia"/>
          <w:sz w:val="24"/>
          <w:szCs w:val="28"/>
        </w:rPr>
        <w:t>，</w:t>
      </w:r>
      <w:r w:rsidRPr="00E62C1D">
        <w:rPr>
          <w:rFonts w:ascii="宋体" w:eastAsia="宋体" w:hAnsi="宋体"/>
          <w:sz w:val="24"/>
          <w:szCs w:val="28"/>
        </w:rPr>
        <w:t>集聚了长江学者</w:t>
      </w:r>
      <w:r w:rsidRPr="00E62C1D">
        <w:rPr>
          <w:rFonts w:ascii="宋体" w:eastAsia="宋体" w:hAnsi="宋体" w:hint="eastAsia"/>
          <w:sz w:val="24"/>
          <w:szCs w:val="28"/>
        </w:rPr>
        <w:t>、国家杰青等高水平专业师资队伍。专业建立二十年来，奠定了深厚的办学基础，共同打造成了特色鲜明、实力雄厚的工科专业。</w:t>
      </w:r>
    </w:p>
    <w:p w14:paraId="2E4C2285" w14:textId="77777777" w:rsidR="007317C7" w:rsidRPr="00E62C1D" w:rsidRDefault="007317C7" w:rsidP="00023C41">
      <w:pPr>
        <w:spacing w:line="360" w:lineRule="auto"/>
        <w:ind w:firstLineChars="200" w:firstLine="480"/>
        <w:rPr>
          <w:rFonts w:ascii="宋体" w:eastAsia="宋体" w:hAnsi="宋体"/>
          <w:sz w:val="24"/>
          <w:szCs w:val="28"/>
        </w:rPr>
      </w:pPr>
    </w:p>
    <w:p w14:paraId="6A16927B" w14:textId="114121F2" w:rsidR="00023C41" w:rsidRPr="00E62C1D" w:rsidRDefault="00023C41" w:rsidP="00023C41">
      <w:pPr>
        <w:spacing w:line="360" w:lineRule="auto"/>
        <w:rPr>
          <w:rFonts w:ascii="黑体" w:eastAsia="黑体" w:hAnsi="黑体"/>
          <w:b/>
          <w:bCs/>
          <w:sz w:val="24"/>
          <w:szCs w:val="28"/>
        </w:rPr>
      </w:pPr>
      <w:r w:rsidRPr="00E62C1D">
        <w:rPr>
          <w:rFonts w:ascii="黑体" w:eastAsia="黑体" w:hAnsi="黑体" w:hint="eastAsia"/>
          <w:b/>
          <w:bCs/>
          <w:sz w:val="24"/>
          <w:szCs w:val="28"/>
        </w:rPr>
        <w:t>一、</w:t>
      </w:r>
      <w:r w:rsidR="0015539F" w:rsidRPr="00E62C1D">
        <w:rPr>
          <w:rFonts w:ascii="黑体" w:eastAsia="黑体" w:hAnsi="黑体" w:hint="eastAsia"/>
          <w:b/>
          <w:bCs/>
          <w:sz w:val="24"/>
          <w:szCs w:val="28"/>
        </w:rPr>
        <w:t>专业定位</w:t>
      </w:r>
    </w:p>
    <w:p w14:paraId="09EEE5C4" w14:textId="3C16115D" w:rsidR="008A757E" w:rsidRPr="00E62C1D" w:rsidRDefault="000D689B" w:rsidP="008F038E">
      <w:pPr>
        <w:spacing w:line="360" w:lineRule="auto"/>
        <w:ind w:firstLineChars="200" w:firstLine="480"/>
        <w:rPr>
          <w:rFonts w:ascii="宋体" w:eastAsia="宋体" w:hAnsi="宋体"/>
          <w:sz w:val="24"/>
          <w:szCs w:val="28"/>
        </w:rPr>
      </w:pPr>
      <w:r w:rsidRPr="00E62C1D">
        <w:rPr>
          <w:rFonts w:ascii="宋体" w:eastAsia="宋体" w:hAnsi="宋体" w:hint="eastAsia"/>
          <w:sz w:val="24"/>
          <w:szCs w:val="28"/>
        </w:rPr>
        <w:t>应用物理学</w:t>
      </w:r>
      <w:r w:rsidR="008A757E" w:rsidRPr="00E62C1D">
        <w:rPr>
          <w:rFonts w:ascii="宋体" w:eastAsia="宋体" w:hAnsi="宋体" w:hint="eastAsia"/>
          <w:sz w:val="24"/>
          <w:szCs w:val="28"/>
        </w:rPr>
        <w:t>专业立足于物理与光电学院，</w:t>
      </w:r>
      <w:r w:rsidR="008F038E" w:rsidRPr="00E62C1D">
        <w:rPr>
          <w:rFonts w:ascii="宋体" w:eastAsia="宋体" w:hAnsi="宋体" w:hint="eastAsia"/>
          <w:sz w:val="24"/>
          <w:szCs w:val="28"/>
        </w:rPr>
        <w:t>重视扎实物理基础的培养。为实现培养个性化的需求，专业方向课程采用模块化形式。应用物理学专业拥有雄厚的师资力量和丰富的教学科研资源，依托物理与光电学院物理学一级学科下的理论物理、凝聚态物理、光学、声学四个二级学科团队以及物理电子学、材料物理与化学等与物理交叉学科研究团队对学生进行个性化培养</w:t>
      </w:r>
      <w:r w:rsidR="00E530BF" w:rsidRPr="00E62C1D">
        <w:rPr>
          <w:rFonts w:ascii="宋体" w:eastAsia="宋体" w:hAnsi="宋体" w:hint="eastAsia"/>
          <w:sz w:val="24"/>
          <w:szCs w:val="28"/>
        </w:rPr>
        <w:t>，</w:t>
      </w:r>
      <w:r w:rsidR="00AF2A1E" w:rsidRPr="00E62C1D">
        <w:rPr>
          <w:rFonts w:ascii="宋体" w:eastAsia="宋体" w:hAnsi="宋体" w:hint="eastAsia"/>
          <w:sz w:val="24"/>
          <w:szCs w:val="28"/>
        </w:rPr>
        <w:t>以适应我国社会经济建设、特别是粤港澳大湾区建设的需要，培养具备扎实的专业基础、科学严谨的学习态度、良好的行业道德、创新精神和能力的</w:t>
      </w:r>
      <w:r w:rsidR="008F038E" w:rsidRPr="00E62C1D">
        <w:rPr>
          <w:rFonts w:ascii="宋体" w:eastAsia="宋体" w:hAnsi="宋体" w:hint="eastAsia"/>
          <w:sz w:val="24"/>
          <w:szCs w:val="28"/>
        </w:rPr>
        <w:t>应用物理学</w:t>
      </w:r>
      <w:r w:rsidR="00AF2A1E" w:rsidRPr="00E62C1D">
        <w:rPr>
          <w:rFonts w:ascii="宋体" w:eastAsia="宋体" w:hAnsi="宋体" w:hint="eastAsia"/>
          <w:sz w:val="24"/>
          <w:szCs w:val="28"/>
        </w:rPr>
        <w:t>高级人才。</w:t>
      </w:r>
    </w:p>
    <w:p w14:paraId="23FED87E" w14:textId="02C42AB3" w:rsidR="0015539F" w:rsidRPr="00E62C1D" w:rsidRDefault="0015539F" w:rsidP="00023C41">
      <w:pPr>
        <w:spacing w:line="360" w:lineRule="auto"/>
        <w:rPr>
          <w:rFonts w:ascii="宋体" w:eastAsia="宋体" w:hAnsi="宋体"/>
          <w:sz w:val="24"/>
          <w:szCs w:val="28"/>
        </w:rPr>
      </w:pPr>
    </w:p>
    <w:p w14:paraId="3AA6CF19" w14:textId="1F472861" w:rsidR="0015539F" w:rsidRPr="00E62C1D" w:rsidRDefault="0015539F" w:rsidP="00023C41">
      <w:pPr>
        <w:spacing w:line="360" w:lineRule="auto"/>
        <w:rPr>
          <w:rFonts w:ascii="黑体" w:eastAsia="黑体" w:hAnsi="黑体"/>
          <w:b/>
          <w:bCs/>
          <w:sz w:val="24"/>
          <w:szCs w:val="28"/>
        </w:rPr>
      </w:pPr>
      <w:r w:rsidRPr="00E62C1D">
        <w:rPr>
          <w:rFonts w:ascii="黑体" w:eastAsia="黑体" w:hAnsi="黑体" w:hint="eastAsia"/>
          <w:b/>
          <w:bCs/>
          <w:sz w:val="24"/>
          <w:szCs w:val="28"/>
        </w:rPr>
        <w:t>二、培养目标</w:t>
      </w:r>
    </w:p>
    <w:p w14:paraId="00C1D92C" w14:textId="1849D26D" w:rsidR="0015539F" w:rsidRPr="00E62C1D" w:rsidRDefault="002541AA" w:rsidP="00F154D8">
      <w:pPr>
        <w:spacing w:line="360" w:lineRule="auto"/>
        <w:ind w:firstLineChars="200" w:firstLine="480"/>
        <w:rPr>
          <w:rFonts w:ascii="宋体" w:eastAsia="宋体" w:hAnsi="宋体"/>
          <w:sz w:val="24"/>
          <w:szCs w:val="28"/>
        </w:rPr>
      </w:pPr>
      <w:r w:rsidRPr="00E62C1D">
        <w:rPr>
          <w:rFonts w:ascii="宋体" w:eastAsia="宋体" w:hAnsi="宋体" w:hint="eastAsia"/>
          <w:sz w:val="24"/>
          <w:szCs w:val="28"/>
        </w:rPr>
        <w:t>本专业以党的教育方针为准绳，以立德树人为导向，立足于国家战略新兴产业及粤港澳大湾区</w:t>
      </w:r>
      <w:r w:rsidR="00F154D8" w:rsidRPr="00E62C1D">
        <w:rPr>
          <w:rFonts w:ascii="宋体" w:eastAsia="宋体" w:hAnsi="宋体" w:hint="eastAsia"/>
          <w:sz w:val="24"/>
          <w:szCs w:val="28"/>
        </w:rPr>
        <w:t>建设</w:t>
      </w:r>
      <w:r w:rsidRPr="00E62C1D">
        <w:rPr>
          <w:rFonts w:ascii="宋体" w:eastAsia="宋体" w:hAnsi="宋体" w:hint="eastAsia"/>
          <w:sz w:val="24"/>
          <w:szCs w:val="28"/>
        </w:rPr>
        <w:t>的重大战略需求，</w:t>
      </w:r>
      <w:r w:rsidR="00F154D8" w:rsidRPr="00E62C1D">
        <w:rPr>
          <w:rFonts w:ascii="宋体" w:eastAsia="宋体" w:hAnsi="宋体" w:hint="eastAsia"/>
          <w:sz w:val="24"/>
          <w:szCs w:val="28"/>
        </w:rPr>
        <w:t>培养家国情怀和全球视野兼备、“三力”（学习力、思想力、行动力）卓越、德智体美劳全面发展的“三创型”（创新、创造、创业）人才。培养具有宽广的数理基础，了解交叉学科；具有较好的科学素养及一定的研究、开发和管理能力；具有创新、创业意识；具有竞争和团队精神，在物理学及其相关的高科技领域中从事科研、教学、技术开发和管理的创新型复合型人才。</w:t>
      </w:r>
    </w:p>
    <w:p w14:paraId="631A6D26" w14:textId="25E08125" w:rsidR="00F154D8" w:rsidRPr="00E62C1D" w:rsidRDefault="00F154D8" w:rsidP="00F154D8">
      <w:pPr>
        <w:spacing w:line="360" w:lineRule="auto"/>
        <w:ind w:firstLineChars="200" w:firstLine="480"/>
        <w:rPr>
          <w:rFonts w:ascii="宋体" w:eastAsia="宋体" w:hAnsi="宋体"/>
          <w:sz w:val="24"/>
          <w:szCs w:val="28"/>
        </w:rPr>
      </w:pPr>
    </w:p>
    <w:p w14:paraId="3C9F93EE" w14:textId="77777777" w:rsidR="00EA0D39" w:rsidRPr="00E62C1D" w:rsidRDefault="00EA0D39" w:rsidP="00EA0D39">
      <w:pPr>
        <w:spacing w:line="360" w:lineRule="auto"/>
        <w:rPr>
          <w:rFonts w:ascii="黑体" w:eastAsia="黑体" w:hAnsi="黑体"/>
          <w:b/>
          <w:bCs/>
          <w:sz w:val="24"/>
          <w:szCs w:val="28"/>
        </w:rPr>
      </w:pPr>
      <w:r w:rsidRPr="00E62C1D">
        <w:rPr>
          <w:rFonts w:ascii="黑体" w:eastAsia="黑体" w:hAnsi="黑体" w:hint="eastAsia"/>
          <w:b/>
          <w:bCs/>
          <w:sz w:val="24"/>
          <w:szCs w:val="28"/>
        </w:rPr>
        <w:t>三、培养规格</w:t>
      </w:r>
    </w:p>
    <w:p w14:paraId="50FAD8A4" w14:textId="6E7FBAA6" w:rsidR="00EA0D39" w:rsidRPr="00E62C1D" w:rsidRDefault="00EA0D39" w:rsidP="00EA0D39">
      <w:pPr>
        <w:spacing w:line="360" w:lineRule="auto"/>
        <w:rPr>
          <w:rFonts w:ascii="宋体" w:eastAsia="宋体" w:hAnsi="宋体"/>
          <w:sz w:val="24"/>
          <w:szCs w:val="24"/>
        </w:rPr>
      </w:pPr>
      <w:r w:rsidRPr="00E62C1D">
        <w:rPr>
          <w:rFonts w:ascii="宋体" w:eastAsia="宋体" w:hAnsi="宋体" w:hint="eastAsia"/>
          <w:sz w:val="24"/>
          <w:szCs w:val="24"/>
        </w:rPr>
        <w:t>学制：</w:t>
      </w:r>
      <w:r w:rsidRPr="00E62C1D">
        <w:rPr>
          <w:rFonts w:ascii="宋体" w:eastAsia="宋体" w:hAnsi="宋体"/>
          <w:sz w:val="24"/>
          <w:szCs w:val="24"/>
        </w:rPr>
        <w:t xml:space="preserve"> 4</w:t>
      </w:r>
      <w:r w:rsidRPr="00E62C1D">
        <w:rPr>
          <w:rFonts w:ascii="宋体" w:eastAsia="宋体" w:hAnsi="宋体" w:hint="eastAsia"/>
          <w:sz w:val="24"/>
          <w:szCs w:val="24"/>
        </w:rPr>
        <w:t>年</w:t>
      </w:r>
    </w:p>
    <w:p w14:paraId="4255FAD9" w14:textId="77777777" w:rsidR="00EA0D39" w:rsidRPr="00E62C1D" w:rsidRDefault="00EA0D39" w:rsidP="00EA0D39">
      <w:pPr>
        <w:spacing w:line="360" w:lineRule="auto"/>
        <w:rPr>
          <w:rFonts w:ascii="宋体" w:eastAsia="宋体" w:hAnsi="宋体"/>
          <w:bCs/>
          <w:sz w:val="24"/>
          <w:szCs w:val="24"/>
        </w:rPr>
      </w:pPr>
      <w:r w:rsidRPr="00E62C1D">
        <w:rPr>
          <w:rFonts w:ascii="宋体" w:eastAsia="宋体" w:hAnsi="宋体" w:hint="eastAsia"/>
          <w:bCs/>
          <w:sz w:val="24"/>
          <w:szCs w:val="24"/>
        </w:rPr>
        <w:t>学分统计表</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971"/>
        <w:gridCol w:w="1248"/>
        <w:gridCol w:w="1437"/>
        <w:gridCol w:w="1515"/>
        <w:gridCol w:w="1125"/>
      </w:tblGrid>
      <w:tr w:rsidR="00E62C1D" w:rsidRPr="00E62C1D" w14:paraId="38CB350D" w14:textId="77777777" w:rsidTr="002168FF">
        <w:tc>
          <w:tcPr>
            <w:tcW w:w="1791" w:type="pct"/>
            <w:tcBorders>
              <w:top w:val="single" w:sz="4" w:space="0" w:color="auto"/>
              <w:left w:val="single" w:sz="4" w:space="0" w:color="auto"/>
              <w:bottom w:val="single" w:sz="4" w:space="0" w:color="auto"/>
              <w:right w:val="single" w:sz="4" w:space="0" w:color="auto"/>
            </w:tcBorders>
            <w:vAlign w:val="center"/>
            <w:hideMark/>
          </w:tcPr>
          <w:p w14:paraId="7556C660" w14:textId="77777777" w:rsidR="001A250A" w:rsidRPr="00E62C1D" w:rsidRDefault="001A250A">
            <w:pPr>
              <w:adjustRightInd w:val="0"/>
              <w:snapToGrid w:val="0"/>
              <w:jc w:val="center"/>
              <w:rPr>
                <w:rFonts w:ascii="宋体" w:eastAsia="宋体" w:hAnsi="宋体"/>
                <w:sz w:val="24"/>
                <w:szCs w:val="24"/>
              </w:rPr>
            </w:pPr>
            <w:r w:rsidRPr="00E62C1D">
              <w:rPr>
                <w:rFonts w:ascii="宋体" w:eastAsia="宋体" w:hAnsi="宋体" w:hint="eastAsia"/>
                <w:sz w:val="24"/>
                <w:szCs w:val="24"/>
              </w:rPr>
              <w:t>课程类别</w:t>
            </w:r>
          </w:p>
        </w:tc>
        <w:tc>
          <w:tcPr>
            <w:tcW w:w="752" w:type="pct"/>
            <w:tcBorders>
              <w:top w:val="single" w:sz="4" w:space="0" w:color="auto"/>
              <w:left w:val="single" w:sz="4" w:space="0" w:color="auto"/>
              <w:bottom w:val="single" w:sz="4" w:space="0" w:color="auto"/>
              <w:right w:val="single" w:sz="4" w:space="0" w:color="auto"/>
            </w:tcBorders>
            <w:vAlign w:val="center"/>
            <w:hideMark/>
          </w:tcPr>
          <w:p w14:paraId="1D0544A4" w14:textId="77777777" w:rsidR="001A250A" w:rsidRPr="00E62C1D" w:rsidRDefault="001A250A">
            <w:pPr>
              <w:adjustRightInd w:val="0"/>
              <w:snapToGrid w:val="0"/>
              <w:jc w:val="center"/>
              <w:rPr>
                <w:rFonts w:ascii="宋体" w:eastAsia="宋体" w:hAnsi="宋体"/>
                <w:sz w:val="24"/>
                <w:szCs w:val="24"/>
              </w:rPr>
            </w:pPr>
            <w:r w:rsidRPr="00E62C1D">
              <w:rPr>
                <w:rFonts w:ascii="宋体" w:eastAsia="宋体" w:hAnsi="宋体" w:hint="eastAsia"/>
                <w:sz w:val="24"/>
                <w:szCs w:val="24"/>
              </w:rPr>
              <w:t>课程要求</w:t>
            </w:r>
          </w:p>
        </w:tc>
        <w:tc>
          <w:tcPr>
            <w:tcW w:w="866" w:type="pct"/>
            <w:tcBorders>
              <w:top w:val="single" w:sz="4" w:space="0" w:color="auto"/>
              <w:left w:val="single" w:sz="4" w:space="0" w:color="auto"/>
              <w:bottom w:val="single" w:sz="4" w:space="0" w:color="auto"/>
              <w:right w:val="single" w:sz="4" w:space="0" w:color="auto"/>
            </w:tcBorders>
            <w:vAlign w:val="center"/>
            <w:hideMark/>
          </w:tcPr>
          <w:p w14:paraId="6E27137A" w14:textId="77777777" w:rsidR="001A250A" w:rsidRPr="00E62C1D" w:rsidRDefault="001A250A">
            <w:pPr>
              <w:adjustRightInd w:val="0"/>
              <w:snapToGrid w:val="0"/>
              <w:jc w:val="center"/>
              <w:rPr>
                <w:rFonts w:ascii="宋体" w:eastAsia="宋体" w:hAnsi="宋体"/>
                <w:sz w:val="24"/>
                <w:szCs w:val="24"/>
              </w:rPr>
            </w:pPr>
            <w:r w:rsidRPr="00E62C1D">
              <w:rPr>
                <w:rFonts w:ascii="宋体" w:eastAsia="宋体" w:hAnsi="宋体" w:hint="eastAsia"/>
                <w:sz w:val="24"/>
                <w:szCs w:val="24"/>
              </w:rPr>
              <w:t>学分</w:t>
            </w:r>
          </w:p>
        </w:tc>
        <w:tc>
          <w:tcPr>
            <w:tcW w:w="913" w:type="pct"/>
            <w:tcBorders>
              <w:top w:val="single" w:sz="4" w:space="0" w:color="auto"/>
              <w:left w:val="single" w:sz="4" w:space="0" w:color="auto"/>
              <w:bottom w:val="single" w:sz="4" w:space="0" w:color="auto"/>
              <w:right w:val="single" w:sz="4" w:space="0" w:color="auto"/>
            </w:tcBorders>
            <w:vAlign w:val="center"/>
            <w:hideMark/>
          </w:tcPr>
          <w:p w14:paraId="6C232F98" w14:textId="77777777" w:rsidR="001A250A" w:rsidRPr="00E62C1D" w:rsidRDefault="001A250A">
            <w:pPr>
              <w:adjustRightInd w:val="0"/>
              <w:snapToGrid w:val="0"/>
              <w:jc w:val="center"/>
              <w:rPr>
                <w:rFonts w:ascii="宋体" w:eastAsia="宋体" w:hAnsi="宋体"/>
                <w:sz w:val="24"/>
                <w:szCs w:val="24"/>
              </w:rPr>
            </w:pPr>
            <w:r w:rsidRPr="00E62C1D">
              <w:rPr>
                <w:rFonts w:ascii="宋体" w:eastAsia="宋体" w:hAnsi="宋体" w:hint="eastAsia"/>
                <w:sz w:val="24"/>
                <w:szCs w:val="24"/>
              </w:rPr>
              <w:t>学时</w:t>
            </w:r>
          </w:p>
        </w:tc>
        <w:tc>
          <w:tcPr>
            <w:tcW w:w="678" w:type="pct"/>
            <w:tcBorders>
              <w:top w:val="single" w:sz="4" w:space="0" w:color="auto"/>
              <w:left w:val="single" w:sz="4" w:space="0" w:color="auto"/>
              <w:bottom w:val="single" w:sz="4" w:space="0" w:color="auto"/>
              <w:right w:val="single" w:sz="4" w:space="0" w:color="auto"/>
            </w:tcBorders>
            <w:vAlign w:val="center"/>
            <w:hideMark/>
          </w:tcPr>
          <w:p w14:paraId="1CE5D93A" w14:textId="77777777" w:rsidR="001A250A" w:rsidRPr="00E62C1D" w:rsidRDefault="001A250A">
            <w:pPr>
              <w:adjustRightInd w:val="0"/>
              <w:snapToGrid w:val="0"/>
              <w:jc w:val="center"/>
              <w:rPr>
                <w:rFonts w:ascii="宋体" w:eastAsia="宋体" w:hAnsi="宋体"/>
                <w:sz w:val="24"/>
                <w:szCs w:val="24"/>
              </w:rPr>
            </w:pPr>
            <w:r w:rsidRPr="00E62C1D">
              <w:rPr>
                <w:rFonts w:ascii="宋体" w:eastAsia="宋体" w:hAnsi="宋体" w:hint="eastAsia"/>
                <w:sz w:val="24"/>
                <w:szCs w:val="24"/>
              </w:rPr>
              <w:t>备注</w:t>
            </w:r>
          </w:p>
        </w:tc>
      </w:tr>
      <w:tr w:rsidR="00E62C1D" w:rsidRPr="00E62C1D" w14:paraId="734F3D85" w14:textId="77777777" w:rsidTr="002168FF">
        <w:tc>
          <w:tcPr>
            <w:tcW w:w="1791" w:type="pct"/>
            <w:vMerge w:val="restart"/>
            <w:tcBorders>
              <w:top w:val="single" w:sz="4" w:space="0" w:color="auto"/>
              <w:left w:val="single" w:sz="4" w:space="0" w:color="auto"/>
              <w:bottom w:val="single" w:sz="4" w:space="0" w:color="auto"/>
              <w:right w:val="single" w:sz="4" w:space="0" w:color="auto"/>
            </w:tcBorders>
            <w:vAlign w:val="center"/>
            <w:hideMark/>
          </w:tcPr>
          <w:p w14:paraId="66BF094A" w14:textId="77777777" w:rsidR="001A250A" w:rsidRPr="00E62C1D" w:rsidRDefault="001A250A">
            <w:pPr>
              <w:adjustRightInd w:val="0"/>
              <w:snapToGrid w:val="0"/>
              <w:jc w:val="center"/>
              <w:rPr>
                <w:rFonts w:ascii="宋体" w:eastAsia="宋体" w:hAnsi="宋体"/>
                <w:sz w:val="24"/>
                <w:szCs w:val="24"/>
              </w:rPr>
            </w:pPr>
            <w:r w:rsidRPr="00E62C1D">
              <w:rPr>
                <w:rFonts w:ascii="宋体" w:eastAsia="宋体" w:hAnsi="宋体" w:hint="eastAsia"/>
                <w:sz w:val="24"/>
                <w:szCs w:val="24"/>
              </w:rPr>
              <w:t>公共基础课</w:t>
            </w:r>
          </w:p>
        </w:tc>
        <w:tc>
          <w:tcPr>
            <w:tcW w:w="752" w:type="pct"/>
            <w:tcBorders>
              <w:top w:val="single" w:sz="4" w:space="0" w:color="auto"/>
              <w:left w:val="single" w:sz="4" w:space="0" w:color="auto"/>
              <w:bottom w:val="single" w:sz="4" w:space="0" w:color="auto"/>
              <w:right w:val="single" w:sz="4" w:space="0" w:color="auto"/>
            </w:tcBorders>
            <w:vAlign w:val="center"/>
            <w:hideMark/>
          </w:tcPr>
          <w:p w14:paraId="49D4465B" w14:textId="77777777" w:rsidR="001A250A" w:rsidRPr="00E62C1D" w:rsidRDefault="001A250A">
            <w:pPr>
              <w:adjustRightInd w:val="0"/>
              <w:snapToGrid w:val="0"/>
              <w:jc w:val="center"/>
              <w:rPr>
                <w:rFonts w:ascii="宋体" w:eastAsia="宋体" w:hAnsi="宋体"/>
                <w:sz w:val="24"/>
                <w:szCs w:val="24"/>
              </w:rPr>
            </w:pPr>
            <w:r w:rsidRPr="00E62C1D">
              <w:rPr>
                <w:rFonts w:ascii="宋体" w:eastAsia="宋体" w:hAnsi="宋体" w:hint="eastAsia"/>
                <w:sz w:val="24"/>
                <w:szCs w:val="24"/>
              </w:rPr>
              <w:t>必修</w:t>
            </w:r>
          </w:p>
        </w:tc>
        <w:tc>
          <w:tcPr>
            <w:tcW w:w="866" w:type="pct"/>
            <w:tcBorders>
              <w:top w:val="single" w:sz="4" w:space="0" w:color="auto"/>
              <w:left w:val="single" w:sz="4" w:space="0" w:color="auto"/>
              <w:bottom w:val="single" w:sz="4" w:space="0" w:color="auto"/>
              <w:right w:val="single" w:sz="4" w:space="0" w:color="auto"/>
            </w:tcBorders>
            <w:vAlign w:val="center"/>
            <w:hideMark/>
          </w:tcPr>
          <w:p w14:paraId="6F9BEF2A" w14:textId="77777777" w:rsidR="001A250A" w:rsidRPr="00E62C1D" w:rsidRDefault="001A250A">
            <w:pPr>
              <w:adjustRightInd w:val="0"/>
              <w:snapToGrid w:val="0"/>
              <w:jc w:val="center"/>
              <w:rPr>
                <w:rFonts w:ascii="宋体" w:eastAsia="宋体" w:hAnsi="宋体"/>
                <w:sz w:val="24"/>
                <w:szCs w:val="24"/>
              </w:rPr>
            </w:pPr>
            <w:r w:rsidRPr="00E62C1D">
              <w:rPr>
                <w:rFonts w:ascii="宋体" w:eastAsia="宋体" w:hAnsi="宋体"/>
                <w:sz w:val="24"/>
                <w:szCs w:val="24"/>
              </w:rPr>
              <w:t>64</w:t>
            </w:r>
          </w:p>
        </w:tc>
        <w:tc>
          <w:tcPr>
            <w:tcW w:w="913" w:type="pct"/>
            <w:tcBorders>
              <w:top w:val="single" w:sz="4" w:space="0" w:color="auto"/>
              <w:left w:val="single" w:sz="4" w:space="0" w:color="auto"/>
              <w:bottom w:val="single" w:sz="4" w:space="0" w:color="auto"/>
              <w:right w:val="single" w:sz="4" w:space="0" w:color="auto"/>
            </w:tcBorders>
            <w:vAlign w:val="center"/>
            <w:hideMark/>
          </w:tcPr>
          <w:p w14:paraId="4C3323DB" w14:textId="77777777" w:rsidR="001A250A" w:rsidRPr="00E62C1D" w:rsidRDefault="001A250A">
            <w:pPr>
              <w:adjustRightInd w:val="0"/>
              <w:snapToGrid w:val="0"/>
              <w:jc w:val="center"/>
              <w:rPr>
                <w:rFonts w:ascii="宋体" w:eastAsia="宋体" w:hAnsi="宋体"/>
                <w:sz w:val="24"/>
                <w:szCs w:val="24"/>
              </w:rPr>
            </w:pPr>
            <w:r w:rsidRPr="00E62C1D">
              <w:rPr>
                <w:rFonts w:ascii="宋体" w:eastAsia="宋体" w:hAnsi="宋体"/>
                <w:sz w:val="24"/>
                <w:szCs w:val="24"/>
              </w:rPr>
              <w:t>1324</w:t>
            </w:r>
          </w:p>
        </w:tc>
        <w:tc>
          <w:tcPr>
            <w:tcW w:w="678" w:type="pct"/>
            <w:tcBorders>
              <w:top w:val="single" w:sz="4" w:space="0" w:color="auto"/>
              <w:left w:val="single" w:sz="4" w:space="0" w:color="auto"/>
              <w:bottom w:val="single" w:sz="4" w:space="0" w:color="auto"/>
              <w:right w:val="single" w:sz="4" w:space="0" w:color="auto"/>
            </w:tcBorders>
            <w:vAlign w:val="center"/>
          </w:tcPr>
          <w:p w14:paraId="60F35D4D" w14:textId="77777777" w:rsidR="001A250A" w:rsidRPr="00E62C1D" w:rsidRDefault="001A250A">
            <w:pPr>
              <w:adjustRightInd w:val="0"/>
              <w:snapToGrid w:val="0"/>
              <w:jc w:val="center"/>
              <w:rPr>
                <w:rFonts w:ascii="宋体" w:eastAsia="宋体" w:hAnsi="宋体"/>
                <w:sz w:val="24"/>
                <w:szCs w:val="24"/>
              </w:rPr>
            </w:pPr>
          </w:p>
        </w:tc>
      </w:tr>
      <w:tr w:rsidR="00E62C1D" w:rsidRPr="00E62C1D" w14:paraId="08BBADD7" w14:textId="77777777" w:rsidTr="002168FF">
        <w:tc>
          <w:tcPr>
            <w:tcW w:w="1791" w:type="pct"/>
            <w:vMerge/>
            <w:tcBorders>
              <w:top w:val="single" w:sz="4" w:space="0" w:color="auto"/>
              <w:left w:val="single" w:sz="4" w:space="0" w:color="auto"/>
              <w:bottom w:val="single" w:sz="4" w:space="0" w:color="auto"/>
              <w:right w:val="single" w:sz="4" w:space="0" w:color="auto"/>
            </w:tcBorders>
            <w:vAlign w:val="center"/>
            <w:hideMark/>
          </w:tcPr>
          <w:p w14:paraId="41F7FC65" w14:textId="77777777" w:rsidR="001A250A" w:rsidRPr="00E62C1D" w:rsidRDefault="001A250A">
            <w:pPr>
              <w:widowControl/>
              <w:jc w:val="left"/>
              <w:rPr>
                <w:rFonts w:ascii="宋体" w:eastAsia="宋体" w:hAnsi="宋体"/>
                <w:sz w:val="24"/>
                <w:szCs w:val="24"/>
              </w:rPr>
            </w:pPr>
          </w:p>
        </w:tc>
        <w:tc>
          <w:tcPr>
            <w:tcW w:w="752" w:type="pct"/>
            <w:tcBorders>
              <w:top w:val="single" w:sz="4" w:space="0" w:color="auto"/>
              <w:left w:val="single" w:sz="4" w:space="0" w:color="auto"/>
              <w:bottom w:val="single" w:sz="4" w:space="0" w:color="auto"/>
              <w:right w:val="single" w:sz="4" w:space="0" w:color="auto"/>
            </w:tcBorders>
            <w:vAlign w:val="center"/>
            <w:hideMark/>
          </w:tcPr>
          <w:p w14:paraId="619A89E1" w14:textId="77777777" w:rsidR="001A250A" w:rsidRPr="00E62C1D" w:rsidRDefault="001A250A">
            <w:pPr>
              <w:adjustRightInd w:val="0"/>
              <w:snapToGrid w:val="0"/>
              <w:jc w:val="center"/>
              <w:rPr>
                <w:rFonts w:ascii="宋体" w:eastAsia="宋体" w:hAnsi="宋体"/>
                <w:sz w:val="24"/>
                <w:szCs w:val="24"/>
              </w:rPr>
            </w:pPr>
            <w:r w:rsidRPr="00E62C1D">
              <w:rPr>
                <w:rFonts w:ascii="宋体" w:eastAsia="宋体" w:hAnsi="宋体" w:hint="eastAsia"/>
                <w:sz w:val="24"/>
                <w:szCs w:val="24"/>
              </w:rPr>
              <w:t>通识</w:t>
            </w:r>
          </w:p>
        </w:tc>
        <w:tc>
          <w:tcPr>
            <w:tcW w:w="866" w:type="pct"/>
            <w:tcBorders>
              <w:top w:val="single" w:sz="4" w:space="0" w:color="auto"/>
              <w:left w:val="single" w:sz="4" w:space="0" w:color="auto"/>
              <w:bottom w:val="single" w:sz="4" w:space="0" w:color="auto"/>
              <w:right w:val="single" w:sz="4" w:space="0" w:color="auto"/>
            </w:tcBorders>
            <w:vAlign w:val="center"/>
            <w:hideMark/>
          </w:tcPr>
          <w:p w14:paraId="00A858C1" w14:textId="77777777" w:rsidR="001A250A" w:rsidRPr="00E62C1D" w:rsidRDefault="001A250A">
            <w:pPr>
              <w:adjustRightInd w:val="0"/>
              <w:snapToGrid w:val="0"/>
              <w:jc w:val="center"/>
              <w:rPr>
                <w:rFonts w:ascii="宋体" w:eastAsia="宋体" w:hAnsi="宋体"/>
                <w:sz w:val="24"/>
                <w:szCs w:val="24"/>
              </w:rPr>
            </w:pPr>
            <w:r w:rsidRPr="00E62C1D">
              <w:rPr>
                <w:rFonts w:ascii="宋体" w:eastAsia="宋体" w:hAnsi="宋体"/>
                <w:sz w:val="24"/>
                <w:szCs w:val="24"/>
              </w:rPr>
              <w:t>10</w:t>
            </w:r>
          </w:p>
        </w:tc>
        <w:tc>
          <w:tcPr>
            <w:tcW w:w="913" w:type="pct"/>
            <w:tcBorders>
              <w:top w:val="single" w:sz="4" w:space="0" w:color="auto"/>
              <w:left w:val="single" w:sz="4" w:space="0" w:color="auto"/>
              <w:bottom w:val="single" w:sz="4" w:space="0" w:color="auto"/>
              <w:right w:val="single" w:sz="4" w:space="0" w:color="auto"/>
            </w:tcBorders>
            <w:vAlign w:val="center"/>
            <w:hideMark/>
          </w:tcPr>
          <w:p w14:paraId="556199B0" w14:textId="77777777" w:rsidR="001A250A" w:rsidRPr="00E62C1D" w:rsidRDefault="001A250A">
            <w:pPr>
              <w:adjustRightInd w:val="0"/>
              <w:snapToGrid w:val="0"/>
              <w:jc w:val="center"/>
              <w:rPr>
                <w:rFonts w:ascii="宋体" w:eastAsia="宋体" w:hAnsi="宋体"/>
                <w:sz w:val="24"/>
                <w:szCs w:val="24"/>
              </w:rPr>
            </w:pPr>
            <w:r w:rsidRPr="00E62C1D">
              <w:rPr>
                <w:rFonts w:ascii="宋体" w:eastAsia="宋体" w:hAnsi="宋体"/>
                <w:sz w:val="24"/>
                <w:szCs w:val="24"/>
              </w:rPr>
              <w:t>160</w:t>
            </w:r>
          </w:p>
        </w:tc>
        <w:tc>
          <w:tcPr>
            <w:tcW w:w="678" w:type="pct"/>
            <w:tcBorders>
              <w:top w:val="single" w:sz="4" w:space="0" w:color="auto"/>
              <w:left w:val="single" w:sz="4" w:space="0" w:color="auto"/>
              <w:bottom w:val="single" w:sz="4" w:space="0" w:color="auto"/>
              <w:right w:val="single" w:sz="4" w:space="0" w:color="auto"/>
            </w:tcBorders>
            <w:vAlign w:val="center"/>
          </w:tcPr>
          <w:p w14:paraId="1C51C9E9" w14:textId="77777777" w:rsidR="001A250A" w:rsidRPr="00E62C1D" w:rsidRDefault="001A250A">
            <w:pPr>
              <w:adjustRightInd w:val="0"/>
              <w:snapToGrid w:val="0"/>
              <w:jc w:val="center"/>
              <w:rPr>
                <w:rFonts w:ascii="宋体" w:eastAsia="宋体" w:hAnsi="宋体"/>
                <w:sz w:val="24"/>
                <w:szCs w:val="24"/>
              </w:rPr>
            </w:pPr>
          </w:p>
        </w:tc>
      </w:tr>
      <w:tr w:rsidR="00E62C1D" w:rsidRPr="00E62C1D" w14:paraId="2E617C5D" w14:textId="77777777" w:rsidTr="002168FF">
        <w:tc>
          <w:tcPr>
            <w:tcW w:w="1791" w:type="pct"/>
            <w:tcBorders>
              <w:top w:val="single" w:sz="4" w:space="0" w:color="auto"/>
              <w:left w:val="single" w:sz="4" w:space="0" w:color="auto"/>
              <w:bottom w:val="single" w:sz="4" w:space="0" w:color="auto"/>
              <w:right w:val="single" w:sz="4" w:space="0" w:color="auto"/>
            </w:tcBorders>
            <w:vAlign w:val="center"/>
            <w:hideMark/>
          </w:tcPr>
          <w:p w14:paraId="2308BB71" w14:textId="77777777" w:rsidR="001A250A" w:rsidRPr="00E62C1D" w:rsidRDefault="001A250A">
            <w:pPr>
              <w:adjustRightInd w:val="0"/>
              <w:snapToGrid w:val="0"/>
              <w:jc w:val="center"/>
              <w:rPr>
                <w:rFonts w:ascii="宋体" w:eastAsia="宋体" w:hAnsi="宋体"/>
                <w:sz w:val="24"/>
                <w:szCs w:val="24"/>
              </w:rPr>
            </w:pPr>
            <w:r w:rsidRPr="00E62C1D">
              <w:rPr>
                <w:rFonts w:ascii="宋体" w:eastAsia="宋体" w:hAnsi="宋体" w:hint="eastAsia"/>
                <w:sz w:val="24"/>
                <w:szCs w:val="24"/>
              </w:rPr>
              <w:t>专业基础课</w:t>
            </w:r>
          </w:p>
        </w:tc>
        <w:tc>
          <w:tcPr>
            <w:tcW w:w="752" w:type="pct"/>
            <w:tcBorders>
              <w:top w:val="single" w:sz="4" w:space="0" w:color="auto"/>
              <w:left w:val="single" w:sz="4" w:space="0" w:color="auto"/>
              <w:bottom w:val="single" w:sz="4" w:space="0" w:color="auto"/>
              <w:right w:val="single" w:sz="4" w:space="0" w:color="auto"/>
            </w:tcBorders>
            <w:vAlign w:val="center"/>
            <w:hideMark/>
          </w:tcPr>
          <w:p w14:paraId="210BA995" w14:textId="77777777" w:rsidR="001A250A" w:rsidRPr="00E62C1D" w:rsidRDefault="001A250A">
            <w:pPr>
              <w:adjustRightInd w:val="0"/>
              <w:snapToGrid w:val="0"/>
              <w:jc w:val="center"/>
              <w:rPr>
                <w:rFonts w:ascii="宋体" w:eastAsia="宋体" w:hAnsi="宋体"/>
                <w:sz w:val="24"/>
                <w:szCs w:val="24"/>
              </w:rPr>
            </w:pPr>
            <w:r w:rsidRPr="00E62C1D">
              <w:rPr>
                <w:rFonts w:ascii="宋体" w:eastAsia="宋体" w:hAnsi="宋体" w:hint="eastAsia"/>
                <w:sz w:val="24"/>
                <w:szCs w:val="24"/>
              </w:rPr>
              <w:t>必修</w:t>
            </w:r>
          </w:p>
        </w:tc>
        <w:tc>
          <w:tcPr>
            <w:tcW w:w="866" w:type="pct"/>
            <w:tcBorders>
              <w:top w:val="single" w:sz="4" w:space="0" w:color="auto"/>
              <w:left w:val="single" w:sz="4" w:space="0" w:color="auto"/>
              <w:bottom w:val="single" w:sz="4" w:space="0" w:color="auto"/>
              <w:right w:val="single" w:sz="4" w:space="0" w:color="auto"/>
            </w:tcBorders>
            <w:vAlign w:val="center"/>
            <w:hideMark/>
          </w:tcPr>
          <w:p w14:paraId="57757033" w14:textId="77777777" w:rsidR="001A250A" w:rsidRPr="00E62C1D" w:rsidRDefault="001A250A">
            <w:pPr>
              <w:adjustRightInd w:val="0"/>
              <w:snapToGrid w:val="0"/>
              <w:jc w:val="center"/>
              <w:rPr>
                <w:rFonts w:ascii="宋体" w:eastAsia="宋体" w:hAnsi="宋体"/>
                <w:sz w:val="24"/>
                <w:szCs w:val="24"/>
              </w:rPr>
            </w:pPr>
            <w:r w:rsidRPr="00E62C1D">
              <w:rPr>
                <w:rFonts w:ascii="宋体" w:eastAsia="宋体" w:hAnsi="宋体"/>
                <w:sz w:val="24"/>
                <w:szCs w:val="24"/>
              </w:rPr>
              <w:t>42</w:t>
            </w:r>
          </w:p>
        </w:tc>
        <w:tc>
          <w:tcPr>
            <w:tcW w:w="913" w:type="pct"/>
            <w:tcBorders>
              <w:top w:val="single" w:sz="4" w:space="0" w:color="auto"/>
              <w:left w:val="single" w:sz="4" w:space="0" w:color="auto"/>
              <w:bottom w:val="single" w:sz="4" w:space="0" w:color="auto"/>
              <w:right w:val="single" w:sz="4" w:space="0" w:color="auto"/>
            </w:tcBorders>
            <w:vAlign w:val="center"/>
            <w:hideMark/>
          </w:tcPr>
          <w:p w14:paraId="4F5E41C6" w14:textId="77777777" w:rsidR="001A250A" w:rsidRPr="00E62C1D" w:rsidRDefault="001A250A">
            <w:pPr>
              <w:adjustRightInd w:val="0"/>
              <w:snapToGrid w:val="0"/>
              <w:jc w:val="center"/>
              <w:rPr>
                <w:rFonts w:ascii="宋体" w:eastAsia="宋体" w:hAnsi="宋体"/>
                <w:sz w:val="24"/>
                <w:szCs w:val="24"/>
              </w:rPr>
            </w:pPr>
            <w:r w:rsidRPr="00E62C1D">
              <w:rPr>
                <w:rFonts w:ascii="宋体" w:eastAsia="宋体" w:hAnsi="宋体"/>
                <w:sz w:val="24"/>
                <w:szCs w:val="24"/>
              </w:rPr>
              <w:t>752</w:t>
            </w:r>
          </w:p>
        </w:tc>
        <w:tc>
          <w:tcPr>
            <w:tcW w:w="678" w:type="pct"/>
            <w:tcBorders>
              <w:top w:val="single" w:sz="4" w:space="0" w:color="auto"/>
              <w:left w:val="single" w:sz="4" w:space="0" w:color="auto"/>
              <w:bottom w:val="single" w:sz="4" w:space="0" w:color="auto"/>
              <w:right w:val="single" w:sz="4" w:space="0" w:color="auto"/>
            </w:tcBorders>
            <w:vAlign w:val="center"/>
          </w:tcPr>
          <w:p w14:paraId="6E0E1C53" w14:textId="77777777" w:rsidR="001A250A" w:rsidRPr="00E62C1D" w:rsidRDefault="001A250A">
            <w:pPr>
              <w:adjustRightInd w:val="0"/>
              <w:snapToGrid w:val="0"/>
              <w:jc w:val="center"/>
              <w:rPr>
                <w:rFonts w:ascii="宋体" w:eastAsia="宋体" w:hAnsi="宋体"/>
                <w:sz w:val="24"/>
                <w:szCs w:val="24"/>
              </w:rPr>
            </w:pPr>
          </w:p>
        </w:tc>
      </w:tr>
      <w:tr w:rsidR="00E62C1D" w:rsidRPr="00E62C1D" w14:paraId="7CA85BA8" w14:textId="77777777" w:rsidTr="002168FF">
        <w:tc>
          <w:tcPr>
            <w:tcW w:w="1791" w:type="pct"/>
            <w:tcBorders>
              <w:top w:val="single" w:sz="4" w:space="0" w:color="auto"/>
              <w:left w:val="single" w:sz="4" w:space="0" w:color="auto"/>
              <w:bottom w:val="single" w:sz="4" w:space="0" w:color="auto"/>
              <w:right w:val="single" w:sz="4" w:space="0" w:color="auto"/>
            </w:tcBorders>
            <w:vAlign w:val="center"/>
            <w:hideMark/>
          </w:tcPr>
          <w:p w14:paraId="6CECB7F3" w14:textId="77777777" w:rsidR="001A250A" w:rsidRPr="00E62C1D" w:rsidRDefault="001A250A">
            <w:pPr>
              <w:adjustRightInd w:val="0"/>
              <w:snapToGrid w:val="0"/>
              <w:jc w:val="center"/>
              <w:rPr>
                <w:rFonts w:ascii="宋体" w:eastAsia="宋体" w:hAnsi="宋体"/>
                <w:sz w:val="24"/>
                <w:szCs w:val="24"/>
              </w:rPr>
            </w:pPr>
            <w:r w:rsidRPr="00E62C1D">
              <w:rPr>
                <w:rFonts w:ascii="宋体" w:eastAsia="宋体" w:hAnsi="宋体" w:hint="eastAsia"/>
                <w:sz w:val="24"/>
                <w:szCs w:val="24"/>
              </w:rPr>
              <w:t>选修课</w:t>
            </w:r>
          </w:p>
        </w:tc>
        <w:tc>
          <w:tcPr>
            <w:tcW w:w="752" w:type="pct"/>
            <w:tcBorders>
              <w:top w:val="single" w:sz="4" w:space="0" w:color="auto"/>
              <w:left w:val="single" w:sz="4" w:space="0" w:color="auto"/>
              <w:bottom w:val="single" w:sz="4" w:space="0" w:color="auto"/>
              <w:right w:val="single" w:sz="4" w:space="0" w:color="auto"/>
            </w:tcBorders>
            <w:vAlign w:val="center"/>
            <w:hideMark/>
          </w:tcPr>
          <w:p w14:paraId="5059E002" w14:textId="77777777" w:rsidR="001A250A" w:rsidRPr="00E62C1D" w:rsidRDefault="001A250A">
            <w:pPr>
              <w:adjustRightInd w:val="0"/>
              <w:snapToGrid w:val="0"/>
              <w:jc w:val="center"/>
              <w:rPr>
                <w:rFonts w:ascii="宋体" w:eastAsia="宋体" w:hAnsi="宋体"/>
                <w:sz w:val="24"/>
                <w:szCs w:val="24"/>
              </w:rPr>
            </w:pPr>
            <w:r w:rsidRPr="00E62C1D">
              <w:rPr>
                <w:rFonts w:ascii="宋体" w:eastAsia="宋体" w:hAnsi="宋体" w:hint="eastAsia"/>
                <w:sz w:val="24"/>
                <w:szCs w:val="24"/>
              </w:rPr>
              <w:t>选修</w:t>
            </w:r>
          </w:p>
        </w:tc>
        <w:tc>
          <w:tcPr>
            <w:tcW w:w="866" w:type="pct"/>
            <w:tcBorders>
              <w:top w:val="single" w:sz="4" w:space="0" w:color="auto"/>
              <w:left w:val="single" w:sz="4" w:space="0" w:color="auto"/>
              <w:bottom w:val="single" w:sz="4" w:space="0" w:color="auto"/>
              <w:right w:val="single" w:sz="4" w:space="0" w:color="auto"/>
            </w:tcBorders>
            <w:vAlign w:val="center"/>
            <w:hideMark/>
          </w:tcPr>
          <w:p w14:paraId="22F39AF3" w14:textId="77777777" w:rsidR="001A250A" w:rsidRPr="00E62C1D" w:rsidRDefault="001A250A">
            <w:pPr>
              <w:adjustRightInd w:val="0"/>
              <w:snapToGrid w:val="0"/>
              <w:jc w:val="center"/>
              <w:rPr>
                <w:rFonts w:ascii="宋体" w:eastAsia="宋体" w:hAnsi="宋体"/>
                <w:sz w:val="24"/>
                <w:szCs w:val="24"/>
              </w:rPr>
            </w:pPr>
            <w:r w:rsidRPr="00E62C1D">
              <w:rPr>
                <w:rFonts w:ascii="宋体" w:eastAsia="宋体" w:hAnsi="宋体"/>
                <w:sz w:val="24"/>
                <w:szCs w:val="24"/>
              </w:rPr>
              <w:t>18</w:t>
            </w:r>
          </w:p>
        </w:tc>
        <w:tc>
          <w:tcPr>
            <w:tcW w:w="913" w:type="pct"/>
            <w:tcBorders>
              <w:top w:val="single" w:sz="4" w:space="0" w:color="auto"/>
              <w:left w:val="single" w:sz="4" w:space="0" w:color="auto"/>
              <w:bottom w:val="single" w:sz="4" w:space="0" w:color="auto"/>
              <w:right w:val="single" w:sz="4" w:space="0" w:color="auto"/>
            </w:tcBorders>
            <w:vAlign w:val="center"/>
            <w:hideMark/>
          </w:tcPr>
          <w:p w14:paraId="768C172B" w14:textId="77777777" w:rsidR="001A250A" w:rsidRPr="00E62C1D" w:rsidRDefault="001A250A">
            <w:pPr>
              <w:adjustRightInd w:val="0"/>
              <w:snapToGrid w:val="0"/>
              <w:jc w:val="center"/>
              <w:rPr>
                <w:rFonts w:ascii="宋体" w:eastAsia="宋体" w:hAnsi="宋体"/>
                <w:sz w:val="24"/>
                <w:szCs w:val="24"/>
              </w:rPr>
            </w:pPr>
            <w:r w:rsidRPr="00E62C1D">
              <w:rPr>
                <w:rFonts w:ascii="宋体" w:eastAsia="宋体" w:hAnsi="宋体"/>
                <w:sz w:val="24"/>
                <w:szCs w:val="24"/>
              </w:rPr>
              <w:t>288</w:t>
            </w:r>
          </w:p>
        </w:tc>
        <w:tc>
          <w:tcPr>
            <w:tcW w:w="678" w:type="pct"/>
            <w:tcBorders>
              <w:top w:val="single" w:sz="4" w:space="0" w:color="auto"/>
              <w:left w:val="single" w:sz="4" w:space="0" w:color="auto"/>
              <w:bottom w:val="single" w:sz="4" w:space="0" w:color="auto"/>
              <w:right w:val="single" w:sz="4" w:space="0" w:color="auto"/>
            </w:tcBorders>
            <w:vAlign w:val="center"/>
          </w:tcPr>
          <w:p w14:paraId="7761C3FB" w14:textId="77777777" w:rsidR="001A250A" w:rsidRPr="00E62C1D" w:rsidRDefault="001A250A">
            <w:pPr>
              <w:adjustRightInd w:val="0"/>
              <w:snapToGrid w:val="0"/>
              <w:jc w:val="center"/>
              <w:rPr>
                <w:rFonts w:ascii="宋体" w:eastAsia="宋体" w:hAnsi="宋体"/>
                <w:sz w:val="24"/>
                <w:szCs w:val="24"/>
              </w:rPr>
            </w:pPr>
          </w:p>
        </w:tc>
      </w:tr>
      <w:tr w:rsidR="00E62C1D" w:rsidRPr="00E62C1D" w14:paraId="6F2D511A" w14:textId="77777777" w:rsidTr="001A250A">
        <w:tc>
          <w:tcPr>
            <w:tcW w:w="2543" w:type="pct"/>
            <w:gridSpan w:val="2"/>
            <w:tcBorders>
              <w:top w:val="single" w:sz="4" w:space="0" w:color="auto"/>
              <w:left w:val="single" w:sz="4" w:space="0" w:color="auto"/>
              <w:bottom w:val="single" w:sz="4" w:space="0" w:color="auto"/>
              <w:right w:val="single" w:sz="4" w:space="0" w:color="auto"/>
            </w:tcBorders>
            <w:vAlign w:val="center"/>
            <w:hideMark/>
          </w:tcPr>
          <w:p w14:paraId="61D13663" w14:textId="77777777" w:rsidR="001A250A" w:rsidRPr="00E62C1D" w:rsidRDefault="001A250A">
            <w:pPr>
              <w:adjustRightInd w:val="0"/>
              <w:snapToGrid w:val="0"/>
              <w:jc w:val="center"/>
              <w:rPr>
                <w:rFonts w:ascii="宋体" w:eastAsia="宋体" w:hAnsi="宋体"/>
                <w:kern w:val="0"/>
                <w:sz w:val="24"/>
                <w:szCs w:val="24"/>
              </w:rPr>
            </w:pPr>
            <w:r w:rsidRPr="00E62C1D">
              <w:rPr>
                <w:rFonts w:ascii="宋体" w:eastAsia="宋体" w:hAnsi="宋体" w:hint="eastAsia"/>
                <w:spacing w:val="103"/>
                <w:kern w:val="0"/>
                <w:sz w:val="24"/>
                <w:szCs w:val="24"/>
              </w:rPr>
              <w:t>合</w:t>
            </w:r>
            <w:r w:rsidRPr="00E62C1D">
              <w:rPr>
                <w:rFonts w:ascii="宋体" w:eastAsia="宋体" w:hAnsi="宋体" w:hint="eastAsia"/>
                <w:kern w:val="0"/>
                <w:sz w:val="24"/>
                <w:szCs w:val="24"/>
              </w:rPr>
              <w:t>计</w:t>
            </w:r>
          </w:p>
        </w:tc>
        <w:tc>
          <w:tcPr>
            <w:tcW w:w="866" w:type="pct"/>
            <w:tcBorders>
              <w:top w:val="single" w:sz="4" w:space="0" w:color="auto"/>
              <w:left w:val="single" w:sz="4" w:space="0" w:color="auto"/>
              <w:bottom w:val="single" w:sz="4" w:space="0" w:color="auto"/>
              <w:right w:val="single" w:sz="4" w:space="0" w:color="auto"/>
            </w:tcBorders>
            <w:vAlign w:val="center"/>
            <w:hideMark/>
          </w:tcPr>
          <w:p w14:paraId="322065A2" w14:textId="77777777" w:rsidR="001A250A" w:rsidRPr="00E62C1D" w:rsidRDefault="001A250A">
            <w:pPr>
              <w:adjustRightInd w:val="0"/>
              <w:snapToGrid w:val="0"/>
              <w:jc w:val="center"/>
              <w:rPr>
                <w:rFonts w:ascii="宋体" w:eastAsia="宋体" w:hAnsi="宋体"/>
                <w:sz w:val="24"/>
                <w:szCs w:val="24"/>
              </w:rPr>
            </w:pPr>
            <w:r w:rsidRPr="00E62C1D">
              <w:rPr>
                <w:rFonts w:ascii="宋体" w:eastAsia="宋体" w:hAnsi="宋体"/>
                <w:sz w:val="24"/>
                <w:szCs w:val="24"/>
              </w:rPr>
              <w:t>134</w:t>
            </w:r>
          </w:p>
        </w:tc>
        <w:tc>
          <w:tcPr>
            <w:tcW w:w="913" w:type="pct"/>
            <w:tcBorders>
              <w:top w:val="single" w:sz="4" w:space="0" w:color="auto"/>
              <w:left w:val="single" w:sz="4" w:space="0" w:color="auto"/>
              <w:bottom w:val="single" w:sz="4" w:space="0" w:color="auto"/>
              <w:right w:val="single" w:sz="4" w:space="0" w:color="auto"/>
            </w:tcBorders>
            <w:vAlign w:val="center"/>
            <w:hideMark/>
          </w:tcPr>
          <w:p w14:paraId="1FE7C062" w14:textId="77777777" w:rsidR="001A250A" w:rsidRPr="00E62C1D" w:rsidRDefault="001A250A">
            <w:pPr>
              <w:adjustRightInd w:val="0"/>
              <w:snapToGrid w:val="0"/>
              <w:jc w:val="center"/>
              <w:rPr>
                <w:rFonts w:ascii="宋体" w:eastAsia="宋体" w:hAnsi="宋体"/>
                <w:sz w:val="24"/>
                <w:szCs w:val="24"/>
              </w:rPr>
            </w:pPr>
            <w:r w:rsidRPr="00E62C1D">
              <w:rPr>
                <w:rFonts w:ascii="宋体" w:eastAsia="宋体" w:hAnsi="宋体"/>
                <w:sz w:val="24"/>
                <w:szCs w:val="24"/>
              </w:rPr>
              <w:t>2524</w:t>
            </w:r>
          </w:p>
        </w:tc>
        <w:tc>
          <w:tcPr>
            <w:tcW w:w="678" w:type="pct"/>
            <w:tcBorders>
              <w:top w:val="single" w:sz="4" w:space="0" w:color="auto"/>
              <w:left w:val="single" w:sz="4" w:space="0" w:color="auto"/>
              <w:bottom w:val="single" w:sz="4" w:space="0" w:color="auto"/>
              <w:right w:val="single" w:sz="4" w:space="0" w:color="auto"/>
            </w:tcBorders>
            <w:vAlign w:val="center"/>
          </w:tcPr>
          <w:p w14:paraId="18CC42DA" w14:textId="77777777" w:rsidR="001A250A" w:rsidRPr="00E62C1D" w:rsidRDefault="001A250A">
            <w:pPr>
              <w:adjustRightInd w:val="0"/>
              <w:snapToGrid w:val="0"/>
              <w:jc w:val="center"/>
              <w:rPr>
                <w:rFonts w:ascii="宋体" w:eastAsia="宋体" w:hAnsi="宋体"/>
                <w:sz w:val="24"/>
                <w:szCs w:val="24"/>
              </w:rPr>
            </w:pPr>
          </w:p>
        </w:tc>
      </w:tr>
      <w:tr w:rsidR="00E62C1D" w:rsidRPr="00E62C1D" w14:paraId="781978F5" w14:textId="77777777" w:rsidTr="002168FF">
        <w:tc>
          <w:tcPr>
            <w:tcW w:w="1791" w:type="pct"/>
            <w:tcBorders>
              <w:top w:val="single" w:sz="4" w:space="0" w:color="auto"/>
              <w:left w:val="single" w:sz="4" w:space="0" w:color="auto"/>
              <w:bottom w:val="single" w:sz="4" w:space="0" w:color="auto"/>
              <w:right w:val="single" w:sz="4" w:space="0" w:color="auto"/>
            </w:tcBorders>
            <w:vAlign w:val="center"/>
            <w:hideMark/>
          </w:tcPr>
          <w:p w14:paraId="388D3D38" w14:textId="77777777" w:rsidR="001A250A" w:rsidRPr="00E62C1D" w:rsidRDefault="001A250A">
            <w:pPr>
              <w:adjustRightInd w:val="0"/>
              <w:snapToGrid w:val="0"/>
              <w:jc w:val="center"/>
              <w:rPr>
                <w:rFonts w:ascii="宋体" w:eastAsia="宋体" w:hAnsi="宋体"/>
                <w:sz w:val="24"/>
                <w:szCs w:val="24"/>
              </w:rPr>
            </w:pPr>
            <w:r w:rsidRPr="00E62C1D">
              <w:rPr>
                <w:rFonts w:ascii="宋体" w:eastAsia="宋体" w:hAnsi="宋体" w:hint="eastAsia"/>
                <w:sz w:val="24"/>
                <w:szCs w:val="24"/>
              </w:rPr>
              <w:t>集中实践教学环节（周）</w:t>
            </w:r>
          </w:p>
        </w:tc>
        <w:tc>
          <w:tcPr>
            <w:tcW w:w="752" w:type="pct"/>
            <w:tcBorders>
              <w:top w:val="single" w:sz="4" w:space="0" w:color="auto"/>
              <w:left w:val="single" w:sz="4" w:space="0" w:color="auto"/>
              <w:bottom w:val="single" w:sz="4" w:space="0" w:color="auto"/>
              <w:right w:val="single" w:sz="4" w:space="0" w:color="auto"/>
            </w:tcBorders>
            <w:vAlign w:val="center"/>
          </w:tcPr>
          <w:p w14:paraId="1D72610B" w14:textId="77777777" w:rsidR="001A250A" w:rsidRPr="00E62C1D" w:rsidRDefault="001A250A">
            <w:pPr>
              <w:adjustRightInd w:val="0"/>
              <w:snapToGrid w:val="0"/>
              <w:jc w:val="center"/>
              <w:rPr>
                <w:rFonts w:ascii="宋体" w:eastAsia="宋体" w:hAnsi="宋体"/>
                <w:sz w:val="24"/>
                <w:szCs w:val="24"/>
              </w:rPr>
            </w:pPr>
          </w:p>
        </w:tc>
        <w:tc>
          <w:tcPr>
            <w:tcW w:w="866" w:type="pct"/>
            <w:tcBorders>
              <w:top w:val="single" w:sz="4" w:space="0" w:color="auto"/>
              <w:left w:val="single" w:sz="4" w:space="0" w:color="auto"/>
              <w:bottom w:val="single" w:sz="4" w:space="0" w:color="auto"/>
              <w:right w:val="single" w:sz="4" w:space="0" w:color="auto"/>
            </w:tcBorders>
            <w:vAlign w:val="center"/>
            <w:hideMark/>
          </w:tcPr>
          <w:p w14:paraId="4801925A" w14:textId="77777777" w:rsidR="001A250A" w:rsidRPr="00E62C1D" w:rsidRDefault="001A250A">
            <w:pPr>
              <w:adjustRightInd w:val="0"/>
              <w:snapToGrid w:val="0"/>
              <w:jc w:val="center"/>
              <w:rPr>
                <w:rFonts w:ascii="宋体" w:eastAsia="宋体" w:hAnsi="宋体"/>
                <w:sz w:val="24"/>
                <w:szCs w:val="24"/>
              </w:rPr>
            </w:pPr>
            <w:r w:rsidRPr="00E62C1D">
              <w:rPr>
                <w:rFonts w:ascii="宋体" w:eastAsia="宋体" w:hAnsi="宋体"/>
                <w:sz w:val="24"/>
                <w:szCs w:val="24"/>
              </w:rPr>
              <w:t>32</w:t>
            </w:r>
          </w:p>
        </w:tc>
        <w:tc>
          <w:tcPr>
            <w:tcW w:w="913" w:type="pct"/>
            <w:tcBorders>
              <w:top w:val="single" w:sz="4" w:space="0" w:color="auto"/>
              <w:left w:val="single" w:sz="4" w:space="0" w:color="auto"/>
              <w:bottom w:val="single" w:sz="4" w:space="0" w:color="auto"/>
              <w:right w:val="single" w:sz="4" w:space="0" w:color="auto"/>
            </w:tcBorders>
            <w:vAlign w:val="center"/>
            <w:hideMark/>
          </w:tcPr>
          <w:p w14:paraId="7F5858BD" w14:textId="77777777" w:rsidR="001A250A" w:rsidRPr="00E62C1D" w:rsidRDefault="001A250A">
            <w:pPr>
              <w:adjustRightInd w:val="0"/>
              <w:snapToGrid w:val="0"/>
              <w:jc w:val="center"/>
              <w:rPr>
                <w:rFonts w:ascii="宋体" w:eastAsia="宋体" w:hAnsi="宋体"/>
                <w:sz w:val="24"/>
                <w:szCs w:val="24"/>
              </w:rPr>
            </w:pPr>
            <w:r w:rsidRPr="00E62C1D">
              <w:rPr>
                <w:rFonts w:ascii="宋体" w:eastAsia="宋体" w:hAnsi="宋体"/>
                <w:sz w:val="24"/>
                <w:szCs w:val="24"/>
              </w:rPr>
              <w:t>36</w:t>
            </w:r>
            <w:r w:rsidRPr="00E62C1D">
              <w:rPr>
                <w:rFonts w:ascii="宋体" w:eastAsia="宋体" w:hAnsi="宋体" w:hint="eastAsia"/>
                <w:sz w:val="24"/>
                <w:szCs w:val="24"/>
              </w:rPr>
              <w:t>周</w:t>
            </w:r>
          </w:p>
        </w:tc>
        <w:tc>
          <w:tcPr>
            <w:tcW w:w="678" w:type="pct"/>
            <w:tcBorders>
              <w:top w:val="single" w:sz="4" w:space="0" w:color="auto"/>
              <w:left w:val="single" w:sz="4" w:space="0" w:color="auto"/>
              <w:bottom w:val="single" w:sz="4" w:space="0" w:color="auto"/>
              <w:right w:val="single" w:sz="4" w:space="0" w:color="auto"/>
            </w:tcBorders>
            <w:vAlign w:val="center"/>
          </w:tcPr>
          <w:p w14:paraId="7B5146E3" w14:textId="77777777" w:rsidR="001A250A" w:rsidRPr="00E62C1D" w:rsidRDefault="001A250A">
            <w:pPr>
              <w:adjustRightInd w:val="0"/>
              <w:snapToGrid w:val="0"/>
              <w:jc w:val="center"/>
              <w:rPr>
                <w:rFonts w:ascii="宋体" w:eastAsia="宋体" w:hAnsi="宋体"/>
                <w:sz w:val="24"/>
                <w:szCs w:val="24"/>
              </w:rPr>
            </w:pPr>
          </w:p>
        </w:tc>
      </w:tr>
      <w:tr w:rsidR="002168FF" w:rsidRPr="00E62C1D" w14:paraId="1A86ABBC" w14:textId="77777777" w:rsidTr="002168FF">
        <w:tc>
          <w:tcPr>
            <w:tcW w:w="1791" w:type="pct"/>
            <w:tcBorders>
              <w:top w:val="single" w:sz="4" w:space="0" w:color="auto"/>
              <w:left w:val="single" w:sz="4" w:space="0" w:color="auto"/>
              <w:bottom w:val="single" w:sz="4" w:space="0" w:color="auto"/>
              <w:right w:val="single" w:sz="4" w:space="0" w:color="auto"/>
            </w:tcBorders>
            <w:vAlign w:val="center"/>
            <w:hideMark/>
          </w:tcPr>
          <w:p w14:paraId="04425102" w14:textId="77777777" w:rsidR="001A250A" w:rsidRPr="00E62C1D" w:rsidRDefault="001A250A">
            <w:pPr>
              <w:adjustRightInd w:val="0"/>
              <w:snapToGrid w:val="0"/>
              <w:jc w:val="center"/>
              <w:rPr>
                <w:rFonts w:ascii="宋体" w:eastAsia="宋体" w:hAnsi="宋体"/>
                <w:sz w:val="24"/>
                <w:szCs w:val="24"/>
              </w:rPr>
            </w:pPr>
            <w:r w:rsidRPr="00E62C1D">
              <w:rPr>
                <w:rFonts w:ascii="宋体" w:eastAsia="宋体" w:hAnsi="宋体" w:hint="eastAsia"/>
                <w:sz w:val="24"/>
                <w:szCs w:val="24"/>
              </w:rPr>
              <w:t>毕业学分要求</w:t>
            </w:r>
          </w:p>
        </w:tc>
        <w:tc>
          <w:tcPr>
            <w:tcW w:w="3209" w:type="pct"/>
            <w:gridSpan w:val="4"/>
            <w:tcBorders>
              <w:top w:val="single" w:sz="4" w:space="0" w:color="auto"/>
              <w:left w:val="single" w:sz="4" w:space="0" w:color="auto"/>
              <w:bottom w:val="single" w:sz="4" w:space="0" w:color="auto"/>
              <w:right w:val="single" w:sz="4" w:space="0" w:color="auto"/>
            </w:tcBorders>
            <w:vAlign w:val="center"/>
            <w:hideMark/>
          </w:tcPr>
          <w:p w14:paraId="7F2A72E5" w14:textId="77777777" w:rsidR="001A250A" w:rsidRPr="00E62C1D" w:rsidRDefault="001A250A">
            <w:pPr>
              <w:adjustRightInd w:val="0"/>
              <w:snapToGrid w:val="0"/>
              <w:jc w:val="center"/>
              <w:rPr>
                <w:rFonts w:ascii="宋体" w:eastAsia="宋体" w:hAnsi="宋体"/>
                <w:sz w:val="24"/>
                <w:szCs w:val="24"/>
              </w:rPr>
            </w:pPr>
            <w:r w:rsidRPr="00E62C1D">
              <w:rPr>
                <w:rFonts w:ascii="宋体" w:eastAsia="宋体" w:hAnsi="宋体"/>
                <w:sz w:val="24"/>
                <w:szCs w:val="24"/>
              </w:rPr>
              <w:t>166</w:t>
            </w:r>
          </w:p>
        </w:tc>
      </w:tr>
    </w:tbl>
    <w:p w14:paraId="30C73552" w14:textId="65554C33" w:rsidR="00EA0D39" w:rsidRPr="00E62C1D" w:rsidRDefault="00EA0D39" w:rsidP="00F154D8">
      <w:pPr>
        <w:spacing w:line="360" w:lineRule="auto"/>
        <w:ind w:firstLineChars="200" w:firstLine="480"/>
        <w:rPr>
          <w:rFonts w:ascii="宋体" w:eastAsia="宋体" w:hAnsi="宋体"/>
          <w:sz w:val="24"/>
          <w:szCs w:val="28"/>
        </w:rPr>
      </w:pPr>
    </w:p>
    <w:p w14:paraId="49AD00BE" w14:textId="77777777" w:rsidR="002168FF" w:rsidRPr="00E62C1D" w:rsidRDefault="002168FF" w:rsidP="002168FF">
      <w:pPr>
        <w:spacing w:beforeLines="50" w:before="156" w:afterLines="50" w:after="156" w:line="360" w:lineRule="auto"/>
        <w:ind w:firstLine="420"/>
        <w:rPr>
          <w:rFonts w:ascii="宋体" w:eastAsia="宋体" w:hAnsi="宋体"/>
          <w:kern w:val="0"/>
          <w:sz w:val="24"/>
          <w:szCs w:val="24"/>
        </w:rPr>
      </w:pPr>
      <w:r w:rsidRPr="00E62C1D">
        <w:rPr>
          <w:rFonts w:ascii="宋体" w:eastAsia="宋体" w:hAnsi="宋体" w:hint="eastAsia"/>
          <w:sz w:val="24"/>
          <w:szCs w:val="24"/>
        </w:rPr>
        <w:t>本专业在知识要求、能力要求、素质要求等方面的要求如下：</w:t>
      </w:r>
      <w:bookmarkStart w:id="1" w:name="_Hlk69065014"/>
      <w:r w:rsidRPr="00E62C1D">
        <w:rPr>
          <w:rFonts w:ascii="宋体" w:eastAsia="宋体" w:hAnsi="宋体" w:hint="eastAsia"/>
          <w:sz w:val="24"/>
          <w:szCs w:val="24"/>
        </w:rPr>
        <w:t>（1）</w:t>
      </w:r>
      <w:r w:rsidRPr="00E62C1D">
        <w:rPr>
          <w:rFonts w:ascii="宋体" w:eastAsia="宋体" w:hAnsi="宋体" w:hint="eastAsia"/>
          <w:kern w:val="0"/>
          <w:sz w:val="24"/>
          <w:szCs w:val="24"/>
        </w:rPr>
        <w:t>能够应用数学、自然科学和物理专业知识的基本原理，识别、表达、并通过文献研究分析应用物理复杂问题，以获得有效结论。（2）能够针对应用物理的复杂问题，开发、选择与使用恰当的技术、资源、现代工程工具和信息技术工具，包括对复杂科学或工程问题的预测与模拟，并能够理解其局限性。（3）具有人文社会科学素养、社会责任感，能够在应用物理实践中理解并遵守科学职业道德和规范，履行责任。（4）能够在应用物理及其交叉学科背景下的团队中承担个体、团队成员以及负责人的角色。（5）能够就应用物理复杂科学和工程问题与业界同行及社会公众进行有效沟通和交流，并具备一定的国际视野，能够在跨文化背景下进行沟通和交流。具有自主学习和终身学习的意识，有不断学习和适应发展的能力。</w:t>
      </w:r>
      <w:bookmarkEnd w:id="1"/>
    </w:p>
    <w:p w14:paraId="14593053" w14:textId="77777777" w:rsidR="00EA0D39" w:rsidRPr="00E62C1D" w:rsidRDefault="00EA0D39" w:rsidP="00F154D8">
      <w:pPr>
        <w:spacing w:line="360" w:lineRule="auto"/>
        <w:ind w:firstLineChars="200" w:firstLine="480"/>
        <w:rPr>
          <w:rFonts w:ascii="宋体" w:eastAsia="宋体" w:hAnsi="宋体"/>
          <w:sz w:val="24"/>
          <w:szCs w:val="28"/>
        </w:rPr>
      </w:pPr>
    </w:p>
    <w:p w14:paraId="6B4EF92B" w14:textId="31E7BC54" w:rsidR="0015539F" w:rsidRPr="00E62C1D" w:rsidRDefault="00B03227" w:rsidP="00023C41">
      <w:pPr>
        <w:spacing w:line="360" w:lineRule="auto"/>
        <w:rPr>
          <w:rFonts w:ascii="黑体" w:eastAsia="黑体" w:hAnsi="黑体"/>
          <w:b/>
          <w:bCs/>
          <w:sz w:val="24"/>
          <w:szCs w:val="28"/>
        </w:rPr>
      </w:pPr>
      <w:r w:rsidRPr="00E62C1D">
        <w:rPr>
          <w:rFonts w:ascii="黑体" w:eastAsia="黑体" w:hAnsi="黑体" w:hint="eastAsia"/>
          <w:b/>
          <w:bCs/>
          <w:sz w:val="24"/>
          <w:szCs w:val="28"/>
        </w:rPr>
        <w:t>四</w:t>
      </w:r>
      <w:r w:rsidR="0015539F" w:rsidRPr="00E62C1D">
        <w:rPr>
          <w:rFonts w:ascii="黑体" w:eastAsia="黑体" w:hAnsi="黑体" w:hint="eastAsia"/>
          <w:b/>
          <w:bCs/>
          <w:sz w:val="24"/>
          <w:szCs w:val="28"/>
        </w:rPr>
        <w:t>、课程体系</w:t>
      </w:r>
    </w:p>
    <w:p w14:paraId="377E8068" w14:textId="40FF5C31" w:rsidR="0015539F" w:rsidRPr="00E62C1D" w:rsidRDefault="002F0BFD" w:rsidP="002F0BFD">
      <w:pPr>
        <w:spacing w:line="360" w:lineRule="auto"/>
        <w:ind w:firstLineChars="200" w:firstLine="480"/>
        <w:rPr>
          <w:rFonts w:ascii="宋体" w:eastAsia="宋体" w:hAnsi="宋体"/>
          <w:sz w:val="24"/>
          <w:szCs w:val="28"/>
        </w:rPr>
      </w:pPr>
      <w:r w:rsidRPr="00E62C1D">
        <w:rPr>
          <w:rFonts w:ascii="宋体" w:eastAsia="宋体" w:hAnsi="宋体" w:hint="eastAsia"/>
          <w:sz w:val="24"/>
          <w:szCs w:val="28"/>
        </w:rPr>
        <w:t>本专业毕业学分要求</w:t>
      </w:r>
      <w:r w:rsidR="005A2A80" w:rsidRPr="00E62C1D">
        <w:rPr>
          <w:rFonts w:ascii="宋体" w:eastAsia="宋体" w:hAnsi="宋体"/>
          <w:sz w:val="24"/>
          <w:szCs w:val="28"/>
        </w:rPr>
        <w:t>166</w:t>
      </w:r>
      <w:r w:rsidRPr="00E62C1D">
        <w:rPr>
          <w:rFonts w:ascii="宋体" w:eastAsia="宋体" w:hAnsi="宋体"/>
          <w:sz w:val="24"/>
          <w:szCs w:val="28"/>
        </w:rPr>
        <w:t>学分，其中集中实践教学环节</w:t>
      </w:r>
      <w:r w:rsidR="005A2A80" w:rsidRPr="00E62C1D">
        <w:rPr>
          <w:rFonts w:ascii="宋体" w:eastAsia="宋体" w:hAnsi="宋体"/>
          <w:sz w:val="24"/>
          <w:szCs w:val="28"/>
        </w:rPr>
        <w:t>36</w:t>
      </w:r>
      <w:r w:rsidRPr="00E62C1D">
        <w:rPr>
          <w:rFonts w:ascii="宋体" w:eastAsia="宋体" w:hAnsi="宋体"/>
          <w:sz w:val="24"/>
          <w:szCs w:val="28"/>
        </w:rPr>
        <w:t>周（3</w:t>
      </w:r>
      <w:r w:rsidR="005A2A80" w:rsidRPr="00E62C1D">
        <w:rPr>
          <w:rFonts w:ascii="宋体" w:eastAsia="宋体" w:hAnsi="宋体"/>
          <w:sz w:val="24"/>
          <w:szCs w:val="28"/>
        </w:rPr>
        <w:t>2</w:t>
      </w:r>
      <w:r w:rsidRPr="00E62C1D">
        <w:rPr>
          <w:rFonts w:ascii="宋体" w:eastAsia="宋体" w:hAnsi="宋体"/>
          <w:sz w:val="24"/>
          <w:szCs w:val="28"/>
        </w:rPr>
        <w:t>学分），学生毕业时须修满专业教学计划规定学分，并取得第二课堂</w:t>
      </w:r>
      <w:r w:rsidR="005A2A80" w:rsidRPr="00E62C1D">
        <w:rPr>
          <w:rFonts w:ascii="宋体" w:eastAsia="宋体" w:hAnsi="宋体"/>
          <w:sz w:val="24"/>
          <w:szCs w:val="28"/>
        </w:rPr>
        <w:t>3</w:t>
      </w:r>
      <w:r w:rsidRPr="00E62C1D">
        <w:rPr>
          <w:rFonts w:ascii="宋体" w:eastAsia="宋体" w:hAnsi="宋体"/>
          <w:sz w:val="24"/>
          <w:szCs w:val="28"/>
        </w:rPr>
        <w:t>个人文素质教育学分和4个创新能力培养学分。</w:t>
      </w:r>
      <w:r w:rsidRPr="00E62C1D">
        <w:rPr>
          <w:rFonts w:ascii="宋体" w:eastAsia="宋体" w:hAnsi="宋体" w:hint="eastAsia"/>
          <w:sz w:val="24"/>
          <w:szCs w:val="28"/>
        </w:rPr>
        <w:t>根据培养目标和毕业要求，</w:t>
      </w:r>
      <w:r w:rsidR="007E0AF7" w:rsidRPr="00E62C1D">
        <w:rPr>
          <w:rFonts w:ascii="宋体" w:eastAsia="宋体" w:hAnsi="宋体" w:hint="eastAsia"/>
          <w:sz w:val="24"/>
          <w:szCs w:val="28"/>
        </w:rPr>
        <w:t>课程</w:t>
      </w:r>
      <w:r w:rsidR="007E0AF7" w:rsidRPr="00E62C1D">
        <w:rPr>
          <w:rFonts w:ascii="宋体" w:eastAsia="宋体" w:hAnsi="宋体"/>
          <w:sz w:val="24"/>
          <w:szCs w:val="28"/>
        </w:rPr>
        <w:t>总学时数</w:t>
      </w:r>
      <w:r w:rsidR="00931D74" w:rsidRPr="00E62C1D">
        <w:rPr>
          <w:rFonts w:ascii="宋体" w:eastAsia="宋体" w:hAnsi="宋体"/>
          <w:sz w:val="24"/>
          <w:szCs w:val="28"/>
        </w:rPr>
        <w:t>2524</w:t>
      </w:r>
      <w:r w:rsidR="007E0AF7" w:rsidRPr="00E62C1D">
        <w:rPr>
          <w:rFonts w:ascii="宋体" w:eastAsia="宋体" w:hAnsi="宋体"/>
          <w:sz w:val="24"/>
          <w:szCs w:val="28"/>
        </w:rPr>
        <w:t>学时，其中必修学时</w:t>
      </w:r>
      <w:r w:rsidR="005A2A80" w:rsidRPr="00E62C1D">
        <w:rPr>
          <w:rFonts w:ascii="宋体" w:eastAsia="宋体" w:hAnsi="宋体"/>
          <w:sz w:val="24"/>
          <w:szCs w:val="28"/>
        </w:rPr>
        <w:t>2</w:t>
      </w:r>
      <w:r w:rsidR="00931D74" w:rsidRPr="00E62C1D">
        <w:rPr>
          <w:rFonts w:ascii="宋体" w:eastAsia="宋体" w:hAnsi="宋体"/>
          <w:sz w:val="24"/>
          <w:szCs w:val="28"/>
        </w:rPr>
        <w:t>060</w:t>
      </w:r>
      <w:r w:rsidR="007E0AF7" w:rsidRPr="00E62C1D">
        <w:rPr>
          <w:rFonts w:ascii="宋体" w:eastAsia="宋体" w:hAnsi="宋体"/>
          <w:sz w:val="24"/>
          <w:szCs w:val="28"/>
        </w:rPr>
        <w:t>，实验教学学时</w:t>
      </w:r>
      <w:r w:rsidR="005A2A80" w:rsidRPr="00E62C1D">
        <w:rPr>
          <w:rFonts w:ascii="宋体" w:eastAsia="宋体" w:hAnsi="宋体"/>
          <w:sz w:val="24"/>
          <w:szCs w:val="28"/>
        </w:rPr>
        <w:t>598</w:t>
      </w:r>
      <w:r w:rsidR="007E0AF7" w:rsidRPr="00E62C1D">
        <w:rPr>
          <w:rFonts w:ascii="宋体" w:eastAsia="宋体" w:hAnsi="宋体" w:hint="eastAsia"/>
          <w:sz w:val="24"/>
          <w:szCs w:val="28"/>
        </w:rPr>
        <w:t>，</w:t>
      </w:r>
      <w:r w:rsidRPr="00E62C1D">
        <w:rPr>
          <w:rFonts w:ascii="宋体" w:eastAsia="宋体" w:hAnsi="宋体" w:hint="eastAsia"/>
          <w:sz w:val="24"/>
          <w:szCs w:val="28"/>
        </w:rPr>
        <w:t>包括：公共基础课、专业基础课、专业选修课、</w:t>
      </w:r>
      <w:r w:rsidR="005A2A80" w:rsidRPr="00E62C1D">
        <w:rPr>
          <w:rFonts w:ascii="宋体" w:eastAsia="宋体" w:hAnsi="宋体" w:hint="eastAsia"/>
          <w:sz w:val="24"/>
          <w:szCs w:val="28"/>
        </w:rPr>
        <w:t>模块</w:t>
      </w:r>
      <w:r w:rsidRPr="00E62C1D">
        <w:rPr>
          <w:rFonts w:ascii="宋体" w:eastAsia="宋体" w:hAnsi="宋体" w:hint="eastAsia"/>
          <w:sz w:val="24"/>
          <w:szCs w:val="28"/>
        </w:rPr>
        <w:t>选修课、集中实践教学环节和第二课堂。</w:t>
      </w:r>
      <w:r w:rsidR="00097289" w:rsidRPr="00E62C1D">
        <w:rPr>
          <w:rFonts w:ascii="宋体" w:eastAsia="宋体" w:hAnsi="宋体" w:hint="eastAsia"/>
          <w:sz w:val="24"/>
          <w:szCs w:val="28"/>
        </w:rPr>
        <w:t>本专业的核心课程包括：</w:t>
      </w:r>
      <w:r w:rsidR="005A2A80" w:rsidRPr="00E62C1D">
        <w:rPr>
          <w:rFonts w:ascii="宋体" w:eastAsia="宋体" w:hAnsi="宋体" w:hint="eastAsia"/>
          <w:sz w:val="24"/>
          <w:szCs w:val="28"/>
        </w:rPr>
        <w:t>基础物理、理论力学、数学物理方法、电动力学、热力学与统计物理、量子</w:t>
      </w:r>
      <w:r w:rsidR="005A2A80" w:rsidRPr="00E62C1D">
        <w:rPr>
          <w:rFonts w:ascii="宋体" w:eastAsia="宋体" w:hAnsi="宋体" w:hint="eastAsia"/>
          <w:sz w:val="24"/>
          <w:szCs w:val="28"/>
        </w:rPr>
        <w:lastRenderedPageBreak/>
        <w:t>力学、固体物理、计算物理。</w:t>
      </w:r>
    </w:p>
    <w:p w14:paraId="1F80A3A3" w14:textId="4F7EAE24" w:rsidR="00D806F7" w:rsidRPr="00E62C1D" w:rsidRDefault="00D806F7" w:rsidP="00D806F7">
      <w:pPr>
        <w:spacing w:line="360" w:lineRule="auto"/>
        <w:ind w:firstLineChars="200" w:firstLine="480"/>
        <w:rPr>
          <w:rFonts w:ascii="宋体" w:eastAsia="宋体" w:hAnsi="宋体"/>
          <w:sz w:val="24"/>
          <w:szCs w:val="28"/>
        </w:rPr>
      </w:pPr>
      <w:r w:rsidRPr="00E62C1D">
        <w:rPr>
          <w:rFonts w:ascii="宋体" w:eastAsia="宋体" w:hAnsi="宋体" w:hint="eastAsia"/>
          <w:sz w:val="24"/>
          <w:szCs w:val="28"/>
        </w:rPr>
        <w:t>物理类基础课有：</w:t>
      </w:r>
      <w:r w:rsidRPr="00E62C1D">
        <w:rPr>
          <w:rFonts w:ascii="宋体" w:eastAsia="宋体" w:hAnsi="宋体"/>
          <w:sz w:val="24"/>
          <w:szCs w:val="28"/>
        </w:rPr>
        <w:t xml:space="preserve"> </w:t>
      </w:r>
      <w:r w:rsidRPr="00E62C1D">
        <w:rPr>
          <w:rFonts w:ascii="宋体" w:eastAsia="宋体" w:hAnsi="宋体" w:hint="eastAsia"/>
          <w:sz w:val="24"/>
          <w:szCs w:val="28"/>
        </w:rPr>
        <w:t>基础物理（一）（3学分），基础物理（二）（</w:t>
      </w:r>
      <w:r w:rsidRPr="00E62C1D">
        <w:rPr>
          <w:rFonts w:ascii="宋体" w:eastAsia="宋体" w:hAnsi="宋体"/>
          <w:sz w:val="24"/>
          <w:szCs w:val="28"/>
        </w:rPr>
        <w:t>4</w:t>
      </w:r>
      <w:r w:rsidRPr="00E62C1D">
        <w:rPr>
          <w:rFonts w:ascii="宋体" w:eastAsia="宋体" w:hAnsi="宋体" w:hint="eastAsia"/>
          <w:sz w:val="24"/>
          <w:szCs w:val="28"/>
        </w:rPr>
        <w:t>学分），基础物理（三）（3学分），基础物理实验（一）（1学分），基础物理实验（二）（1</w:t>
      </w:r>
      <w:r w:rsidRPr="00E62C1D">
        <w:rPr>
          <w:rFonts w:ascii="宋体" w:eastAsia="宋体" w:hAnsi="宋体"/>
          <w:sz w:val="24"/>
          <w:szCs w:val="28"/>
        </w:rPr>
        <w:t>.5</w:t>
      </w:r>
      <w:r w:rsidRPr="00E62C1D">
        <w:rPr>
          <w:rFonts w:ascii="宋体" w:eastAsia="宋体" w:hAnsi="宋体" w:hint="eastAsia"/>
          <w:sz w:val="24"/>
          <w:szCs w:val="28"/>
        </w:rPr>
        <w:t>学分），基础物理实验（三）（1</w:t>
      </w:r>
      <w:r w:rsidRPr="00E62C1D">
        <w:rPr>
          <w:rFonts w:ascii="宋体" w:eastAsia="宋体" w:hAnsi="宋体"/>
          <w:sz w:val="24"/>
          <w:szCs w:val="28"/>
        </w:rPr>
        <w:t>.5</w:t>
      </w:r>
      <w:r w:rsidRPr="00E62C1D">
        <w:rPr>
          <w:rFonts w:ascii="宋体" w:eastAsia="宋体" w:hAnsi="宋体" w:hint="eastAsia"/>
          <w:sz w:val="24"/>
          <w:szCs w:val="28"/>
        </w:rPr>
        <w:t>学分），宇宙的演化（1学分），物理学的进化（1学分），</w:t>
      </w:r>
      <w:r w:rsidR="00F429B3" w:rsidRPr="00E62C1D">
        <w:rPr>
          <w:rFonts w:ascii="宋体" w:eastAsia="宋体" w:hAnsi="宋体" w:hint="eastAsia"/>
          <w:sz w:val="24"/>
          <w:szCs w:val="28"/>
        </w:rPr>
        <w:t>光学前沿（1学分），</w:t>
      </w:r>
      <w:r w:rsidRPr="00E62C1D">
        <w:rPr>
          <w:rFonts w:ascii="宋体" w:eastAsia="宋体" w:hAnsi="宋体" w:hint="eastAsia"/>
          <w:sz w:val="24"/>
          <w:szCs w:val="28"/>
        </w:rPr>
        <w:t>理论力学</w:t>
      </w:r>
      <w:r w:rsidRPr="00E62C1D">
        <w:rPr>
          <w:rFonts w:ascii="宋体" w:eastAsia="宋体" w:hAnsi="宋体"/>
          <w:sz w:val="24"/>
          <w:szCs w:val="28"/>
        </w:rPr>
        <w:t>I</w:t>
      </w:r>
      <w:r w:rsidR="00F429B3" w:rsidRPr="00E62C1D">
        <w:rPr>
          <w:rFonts w:ascii="宋体" w:eastAsia="宋体" w:hAnsi="宋体" w:hint="eastAsia"/>
          <w:sz w:val="24"/>
          <w:szCs w:val="28"/>
        </w:rPr>
        <w:t>II</w:t>
      </w:r>
      <w:r w:rsidRPr="00E62C1D">
        <w:rPr>
          <w:rFonts w:ascii="宋体" w:eastAsia="宋体" w:hAnsi="宋体" w:hint="eastAsia"/>
          <w:sz w:val="24"/>
          <w:szCs w:val="28"/>
        </w:rPr>
        <w:t>（4学分），数学物理方法（</w:t>
      </w:r>
      <w:r w:rsidR="00F429B3" w:rsidRPr="00E62C1D">
        <w:rPr>
          <w:rFonts w:ascii="宋体" w:eastAsia="宋体" w:hAnsi="宋体"/>
          <w:sz w:val="24"/>
          <w:szCs w:val="28"/>
        </w:rPr>
        <w:t>4</w:t>
      </w:r>
      <w:r w:rsidRPr="00E62C1D">
        <w:rPr>
          <w:rFonts w:ascii="宋体" w:eastAsia="宋体" w:hAnsi="宋体" w:hint="eastAsia"/>
          <w:sz w:val="24"/>
          <w:szCs w:val="28"/>
        </w:rPr>
        <w:t>学分），计算物理（</w:t>
      </w:r>
      <w:r w:rsidR="002C7DAC" w:rsidRPr="00E62C1D">
        <w:rPr>
          <w:rFonts w:ascii="宋体" w:eastAsia="宋体" w:hAnsi="宋体"/>
          <w:sz w:val="24"/>
          <w:szCs w:val="28"/>
        </w:rPr>
        <w:t>3</w:t>
      </w:r>
      <w:r w:rsidRPr="00E62C1D">
        <w:rPr>
          <w:rFonts w:ascii="宋体" w:eastAsia="宋体" w:hAnsi="宋体"/>
          <w:sz w:val="24"/>
          <w:szCs w:val="28"/>
        </w:rPr>
        <w:t>.5</w:t>
      </w:r>
      <w:r w:rsidRPr="00E62C1D">
        <w:rPr>
          <w:rFonts w:ascii="宋体" w:eastAsia="宋体" w:hAnsi="宋体" w:hint="eastAsia"/>
          <w:sz w:val="24"/>
          <w:szCs w:val="28"/>
        </w:rPr>
        <w:t>学分），原子物理（4学分），电动力学</w:t>
      </w:r>
      <w:r w:rsidRPr="00E62C1D">
        <w:rPr>
          <w:rFonts w:ascii="宋体" w:eastAsia="宋体" w:hAnsi="宋体"/>
          <w:sz w:val="24"/>
          <w:szCs w:val="28"/>
        </w:rPr>
        <w:t>I</w:t>
      </w:r>
      <w:r w:rsidRPr="00E62C1D">
        <w:rPr>
          <w:rFonts w:ascii="宋体" w:eastAsia="宋体" w:hAnsi="宋体" w:hint="eastAsia"/>
          <w:sz w:val="24"/>
          <w:szCs w:val="28"/>
        </w:rPr>
        <w:t>（4学分）</w:t>
      </w:r>
      <w:r w:rsidRPr="00E62C1D">
        <w:rPr>
          <w:rFonts w:ascii="宋体" w:eastAsia="宋体" w:hAnsi="宋体"/>
          <w:sz w:val="24"/>
          <w:szCs w:val="28"/>
        </w:rPr>
        <w:t>，</w:t>
      </w:r>
      <w:r w:rsidR="00141693" w:rsidRPr="00E62C1D">
        <w:rPr>
          <w:rFonts w:ascii="宋体" w:eastAsia="宋体" w:hAnsi="宋体" w:hint="eastAsia"/>
          <w:sz w:val="24"/>
          <w:szCs w:val="28"/>
        </w:rPr>
        <w:t>近代物理实验（2学分），应用物理专业实验（2学分），</w:t>
      </w:r>
      <w:r w:rsidR="002C7DAC" w:rsidRPr="00E62C1D">
        <w:rPr>
          <w:rFonts w:ascii="宋体" w:eastAsia="宋体" w:hAnsi="宋体" w:hint="eastAsia"/>
          <w:sz w:val="24"/>
          <w:szCs w:val="28"/>
        </w:rPr>
        <w:t>量</w:t>
      </w:r>
      <w:r w:rsidRPr="00E62C1D">
        <w:rPr>
          <w:rFonts w:ascii="宋体" w:eastAsia="宋体" w:hAnsi="宋体" w:hint="eastAsia"/>
          <w:sz w:val="24"/>
          <w:szCs w:val="28"/>
        </w:rPr>
        <w:t>子力学</w:t>
      </w:r>
      <w:r w:rsidRPr="00E62C1D">
        <w:rPr>
          <w:rFonts w:ascii="宋体" w:eastAsia="宋体" w:hAnsi="宋体"/>
          <w:sz w:val="24"/>
          <w:szCs w:val="28"/>
        </w:rPr>
        <w:t>（</w:t>
      </w:r>
      <w:r w:rsidRPr="00E62C1D">
        <w:rPr>
          <w:rFonts w:ascii="宋体" w:eastAsia="宋体" w:hAnsi="宋体" w:hint="eastAsia"/>
          <w:sz w:val="24"/>
          <w:szCs w:val="28"/>
        </w:rPr>
        <w:t>4学分），热力学与统计物理</w:t>
      </w:r>
      <w:r w:rsidRPr="00E62C1D">
        <w:rPr>
          <w:rFonts w:ascii="宋体" w:eastAsia="宋体" w:hAnsi="宋体"/>
          <w:sz w:val="24"/>
          <w:szCs w:val="28"/>
        </w:rPr>
        <w:t>（</w:t>
      </w:r>
      <w:r w:rsidR="002C7DAC" w:rsidRPr="00E62C1D">
        <w:rPr>
          <w:rFonts w:ascii="宋体" w:eastAsia="宋体" w:hAnsi="宋体"/>
          <w:sz w:val="24"/>
          <w:szCs w:val="28"/>
        </w:rPr>
        <w:t>3</w:t>
      </w:r>
      <w:r w:rsidRPr="00E62C1D">
        <w:rPr>
          <w:rFonts w:ascii="宋体" w:eastAsia="宋体" w:hAnsi="宋体" w:hint="eastAsia"/>
          <w:sz w:val="24"/>
          <w:szCs w:val="28"/>
        </w:rPr>
        <w:t>学分），固体物理（4学分），电路</w:t>
      </w:r>
      <w:r w:rsidRPr="00E62C1D">
        <w:rPr>
          <w:rFonts w:ascii="宋体" w:eastAsia="宋体" w:hAnsi="宋体"/>
          <w:sz w:val="24"/>
          <w:szCs w:val="28"/>
        </w:rPr>
        <w:t xml:space="preserve">II </w:t>
      </w:r>
      <w:r w:rsidRPr="00E62C1D">
        <w:rPr>
          <w:rFonts w:ascii="宋体" w:eastAsia="宋体" w:hAnsi="宋体" w:hint="eastAsia"/>
          <w:sz w:val="24"/>
          <w:szCs w:val="28"/>
        </w:rPr>
        <w:t>（4学分），电路实验（0</w:t>
      </w:r>
      <w:r w:rsidRPr="00E62C1D">
        <w:rPr>
          <w:rFonts w:ascii="宋体" w:eastAsia="宋体" w:hAnsi="宋体"/>
          <w:sz w:val="24"/>
          <w:szCs w:val="28"/>
        </w:rPr>
        <w:t>.5</w:t>
      </w:r>
      <w:r w:rsidRPr="00E62C1D">
        <w:rPr>
          <w:rFonts w:ascii="宋体" w:eastAsia="宋体" w:hAnsi="宋体" w:hint="eastAsia"/>
          <w:sz w:val="24"/>
          <w:szCs w:val="28"/>
        </w:rPr>
        <w:t>学分）。</w:t>
      </w:r>
    </w:p>
    <w:p w14:paraId="21CB8F32" w14:textId="194146F6" w:rsidR="0015539F" w:rsidRPr="00E62C1D" w:rsidRDefault="0015539F" w:rsidP="00023C41">
      <w:pPr>
        <w:spacing w:line="360" w:lineRule="auto"/>
        <w:rPr>
          <w:rFonts w:ascii="宋体" w:eastAsia="宋体" w:hAnsi="宋体"/>
          <w:sz w:val="24"/>
          <w:szCs w:val="28"/>
        </w:rPr>
      </w:pPr>
    </w:p>
    <w:p w14:paraId="784BFE04" w14:textId="3B5F1F70" w:rsidR="0015539F" w:rsidRPr="00E62C1D" w:rsidRDefault="00952686" w:rsidP="00023C41">
      <w:pPr>
        <w:spacing w:line="360" w:lineRule="auto"/>
        <w:rPr>
          <w:rFonts w:ascii="黑体" w:eastAsia="黑体" w:hAnsi="黑体"/>
          <w:b/>
          <w:bCs/>
          <w:sz w:val="24"/>
          <w:szCs w:val="28"/>
        </w:rPr>
      </w:pPr>
      <w:r w:rsidRPr="00E62C1D">
        <w:rPr>
          <w:rFonts w:ascii="黑体" w:eastAsia="黑体" w:hAnsi="黑体" w:hint="eastAsia"/>
          <w:b/>
          <w:bCs/>
          <w:sz w:val="24"/>
          <w:szCs w:val="28"/>
        </w:rPr>
        <w:t>五</w:t>
      </w:r>
      <w:r w:rsidR="0015539F" w:rsidRPr="00E62C1D">
        <w:rPr>
          <w:rFonts w:ascii="黑体" w:eastAsia="黑体" w:hAnsi="黑体" w:hint="eastAsia"/>
          <w:b/>
          <w:bCs/>
          <w:sz w:val="24"/>
          <w:szCs w:val="28"/>
        </w:rPr>
        <w:t>、师资队伍</w:t>
      </w:r>
    </w:p>
    <w:p w14:paraId="49CD1A6C" w14:textId="77777777" w:rsidR="004C59CC" w:rsidRPr="00B25433" w:rsidRDefault="004C59CC" w:rsidP="004C59CC">
      <w:pPr>
        <w:spacing w:line="360" w:lineRule="auto"/>
        <w:ind w:firstLineChars="200" w:firstLine="480"/>
        <w:rPr>
          <w:rFonts w:ascii="宋体" w:eastAsia="宋体" w:hAnsi="宋体"/>
          <w:sz w:val="24"/>
          <w:szCs w:val="28"/>
        </w:rPr>
      </w:pPr>
      <w:r w:rsidRPr="00AC0EFD">
        <w:rPr>
          <w:rFonts w:ascii="宋体" w:eastAsia="宋体" w:hAnsi="宋体" w:hint="eastAsia"/>
          <w:sz w:val="24"/>
          <w:szCs w:val="28"/>
        </w:rPr>
        <w:t>本专业共有专任教师</w:t>
      </w:r>
      <w:r w:rsidRPr="00AC0EFD">
        <w:rPr>
          <w:rFonts w:ascii="宋体" w:eastAsia="宋体" w:hAnsi="宋体"/>
          <w:sz w:val="24"/>
          <w:szCs w:val="28"/>
        </w:rPr>
        <w:t>38人，其中教授19人、副教授12人。教师队伍中包括长江学者特聘教授1人，国家杰出青年科学基金获得者2人，国家“万人计划”科技创新领军人才1人，国家优秀青年科学基金获得者2人，海外高层次人才1人，国家重大人才工程入选者1人，国家级青年人才入选者1人等。本学科重视青年教师后备力量的培养，45岁（含45岁）以下教师群体占42%，35岁（含35岁）以下青年教师占8%。本专业包括理论物理物理、凝聚态物理、声学等3个主要研究方向，教师队伍结构合理，发展潜力好，教学和学术水平较高。</w:t>
      </w:r>
    </w:p>
    <w:p w14:paraId="42987B19" w14:textId="4FA0B0C8" w:rsidR="0015539F" w:rsidRPr="004C59CC" w:rsidRDefault="0015539F" w:rsidP="00F26C68">
      <w:pPr>
        <w:spacing w:line="360" w:lineRule="auto"/>
        <w:ind w:firstLineChars="200" w:firstLine="480"/>
        <w:rPr>
          <w:rFonts w:ascii="宋体" w:eastAsia="宋体" w:hAnsi="宋体"/>
          <w:sz w:val="24"/>
          <w:szCs w:val="28"/>
        </w:rPr>
      </w:pPr>
      <w:bookmarkStart w:id="2" w:name="_GoBack"/>
      <w:bookmarkEnd w:id="2"/>
    </w:p>
    <w:p w14:paraId="0574DB42" w14:textId="57385E59" w:rsidR="0015539F" w:rsidRPr="00E62C1D" w:rsidRDefault="00A12B49" w:rsidP="00023C41">
      <w:pPr>
        <w:spacing w:line="360" w:lineRule="auto"/>
        <w:rPr>
          <w:rFonts w:ascii="黑体" w:eastAsia="黑体" w:hAnsi="黑体"/>
          <w:b/>
          <w:bCs/>
          <w:sz w:val="24"/>
          <w:szCs w:val="28"/>
        </w:rPr>
      </w:pPr>
      <w:r w:rsidRPr="00E62C1D">
        <w:rPr>
          <w:rFonts w:ascii="黑体" w:eastAsia="黑体" w:hAnsi="黑体" w:hint="eastAsia"/>
          <w:b/>
          <w:bCs/>
          <w:sz w:val="24"/>
          <w:szCs w:val="28"/>
        </w:rPr>
        <w:t>六</w:t>
      </w:r>
      <w:r w:rsidR="0015539F" w:rsidRPr="00E62C1D">
        <w:rPr>
          <w:rFonts w:ascii="黑体" w:eastAsia="黑体" w:hAnsi="黑体" w:hint="eastAsia"/>
          <w:b/>
          <w:bCs/>
          <w:sz w:val="24"/>
          <w:szCs w:val="28"/>
        </w:rPr>
        <w:t>、教学条件</w:t>
      </w:r>
    </w:p>
    <w:p w14:paraId="2E0B2D3A" w14:textId="77777777" w:rsidR="0011641E" w:rsidRPr="00E62C1D" w:rsidRDefault="0011641E" w:rsidP="0011641E">
      <w:pPr>
        <w:spacing w:line="360" w:lineRule="auto"/>
        <w:ind w:firstLineChars="200" w:firstLine="480"/>
        <w:rPr>
          <w:rFonts w:ascii="宋体" w:eastAsia="宋体" w:hAnsi="宋体"/>
          <w:sz w:val="24"/>
          <w:szCs w:val="28"/>
        </w:rPr>
      </w:pPr>
      <w:r w:rsidRPr="00E62C1D">
        <w:rPr>
          <w:rFonts w:ascii="宋体" w:eastAsia="宋体" w:hAnsi="宋体" w:hint="eastAsia"/>
          <w:sz w:val="24"/>
          <w:szCs w:val="28"/>
        </w:rPr>
        <w:t>目前物理与光电学院拥有一栋教学和科研大楼(五山校区18号楼)，本科教学实验用房面积约1400平方米，本科专业实验教学仪器设备资产约5100万元。拥有本科专业实验室、物理实验中心(五山校区31号楼、大学城校区)、电子工艺教学实习中心(五山校区31号楼)、人工光声微结构物理与材料实验室(励吾科技大楼)、高压科学实验室、广东省光电工程中心(五山校区23号楼)。本专业依托发光材料与器件国家重点实验室、广东省第三代半导体材料与器件工程实验室、广东省光纤激光材料与应用技术重点实验室、广东省特种光纤材料与器件工程技术研究开发中心、广东省光电工程技术研究开发中心、广东高校半导体照明技术工程技术研究中心、广州市宽禁带半导体芯片及应用系统重点实验室、电子工艺</w:t>
      </w:r>
      <w:r w:rsidRPr="00E62C1D">
        <w:rPr>
          <w:rFonts w:ascii="宋体" w:eastAsia="宋体" w:hAnsi="宋体" w:hint="eastAsia"/>
          <w:sz w:val="24"/>
          <w:szCs w:val="28"/>
        </w:rPr>
        <w:lastRenderedPageBreak/>
        <w:t>实验教学中心（广东省实验教学示范中心）等14个大学生校外实践教学基地的多个国家和省部级实践教学和科研基地。与国内科研院所保持紧密的合作关系，为学生提供优质的实习基地，包括：中国科学院物理研究所、中国科学院长春光学精密机械与物理研究所、东莞中子科学中心、电子五所、海康威视、广州气象卫星地面站、佛山市国星光电科技有限公司、广州市光机电技术研究院、广州粤显光学仪器有限责任公司等。</w:t>
      </w:r>
    </w:p>
    <w:p w14:paraId="1721E721" w14:textId="0AAC9856" w:rsidR="00A12B49" w:rsidRPr="00E62C1D" w:rsidRDefault="00A12B49" w:rsidP="00A12B49">
      <w:pPr>
        <w:spacing w:line="360" w:lineRule="auto"/>
        <w:rPr>
          <w:rFonts w:ascii="宋体" w:eastAsia="宋体" w:hAnsi="宋体"/>
          <w:sz w:val="24"/>
          <w:szCs w:val="28"/>
        </w:rPr>
      </w:pPr>
    </w:p>
    <w:p w14:paraId="74A443D3" w14:textId="77777777" w:rsidR="00A12B49" w:rsidRPr="00E62C1D" w:rsidRDefault="00A12B49" w:rsidP="00A12B49">
      <w:pPr>
        <w:spacing w:line="360" w:lineRule="auto"/>
        <w:rPr>
          <w:rFonts w:ascii="黑体" w:eastAsia="黑体" w:hAnsi="黑体"/>
          <w:b/>
          <w:bCs/>
          <w:sz w:val="24"/>
          <w:szCs w:val="28"/>
        </w:rPr>
      </w:pPr>
      <w:r w:rsidRPr="00E62C1D">
        <w:rPr>
          <w:rFonts w:ascii="黑体" w:eastAsia="黑体" w:hAnsi="黑体" w:hint="eastAsia"/>
          <w:b/>
          <w:bCs/>
          <w:sz w:val="24"/>
          <w:szCs w:val="28"/>
        </w:rPr>
        <w:t>七、质量保障与培养成效。</w:t>
      </w:r>
    </w:p>
    <w:p w14:paraId="27806F1C" w14:textId="77777777" w:rsidR="0011641E" w:rsidRPr="00E62C1D" w:rsidRDefault="0011641E" w:rsidP="0011641E">
      <w:pPr>
        <w:spacing w:line="360" w:lineRule="auto"/>
        <w:ind w:firstLine="420"/>
        <w:rPr>
          <w:rFonts w:ascii="宋体" w:eastAsia="宋体" w:hAnsi="宋体"/>
          <w:bCs/>
          <w:sz w:val="24"/>
          <w:szCs w:val="28"/>
        </w:rPr>
      </w:pPr>
      <w:r w:rsidRPr="00E62C1D">
        <w:rPr>
          <w:rFonts w:ascii="宋体" w:eastAsia="宋体" w:hAnsi="宋体" w:hint="eastAsia"/>
          <w:bCs/>
          <w:sz w:val="24"/>
          <w:szCs w:val="28"/>
        </w:rPr>
        <w:t>本专业有完善的院校两级教学质量保障机构，包括学校的校级教学指导委员会、教学督导制度；学院的教学指导委员会及院级教学督导等。本专业教学过程常态化监控机制，定期进行课程体系合理性评价，召开专业讨论会，征求毕业生代表及用人单位意见并进行修订。每两年一次培养方案修订，每四年一次大修。本专业建立了毕业生跟踪反馈体系，定期召开毕业生反馈会，用人单位反馈会等。</w:t>
      </w:r>
    </w:p>
    <w:p w14:paraId="0533417E" w14:textId="0F5649B6" w:rsidR="0011641E" w:rsidRPr="00E62C1D" w:rsidRDefault="0011641E" w:rsidP="0011641E">
      <w:pPr>
        <w:spacing w:line="360" w:lineRule="auto"/>
        <w:ind w:firstLineChars="200" w:firstLine="480"/>
        <w:rPr>
          <w:rFonts w:ascii="宋体" w:eastAsia="宋体" w:hAnsi="宋体"/>
          <w:sz w:val="24"/>
          <w:szCs w:val="28"/>
        </w:rPr>
      </w:pPr>
      <w:r w:rsidRPr="00E62C1D">
        <w:rPr>
          <w:rFonts w:ascii="宋体" w:eastAsia="宋体" w:hAnsi="宋体" w:hint="eastAsia"/>
          <w:sz w:val="24"/>
          <w:szCs w:val="28"/>
        </w:rPr>
        <w:t>本专业人才培养成效突出，学生就业率高，深造率不断提高，涌现出一批优秀的校友。2020-2022年就业</w:t>
      </w:r>
      <w:r w:rsidR="00EF4642">
        <w:rPr>
          <w:rFonts w:ascii="宋体" w:eastAsia="宋体" w:hAnsi="宋体" w:hint="eastAsia"/>
          <w:sz w:val="24"/>
          <w:szCs w:val="28"/>
        </w:rPr>
        <w:t>去向落实</w:t>
      </w:r>
      <w:r w:rsidRPr="00E62C1D">
        <w:rPr>
          <w:rFonts w:ascii="宋体" w:eastAsia="宋体" w:hAnsi="宋体" w:hint="eastAsia"/>
          <w:sz w:val="24"/>
          <w:szCs w:val="28"/>
        </w:rPr>
        <w:t>率分别为99.13%、99.20%、99.32%，升学率分别为：38.16%、52.11%、78.78%。其中，马冠聪2007年毕业于本专业，现任职于香港浸会大学物理系副教授，获得国家优秀青年科学基金（港澳）项目的支持。何志才2007年毕业于本专业，现任职于华南理工大学材料科学与技术学院，获得国家优秀青年基金和广东省杰出青年基金的支持，以第一作者在Nature Photonics发表的研究成果被评为“2012年度中国科学十大进展”。刘石平2020年毕业于本专业，读博期间三次问鼎国际顶尖刊物，2014年荣获第九届中国青少年科技创新奖，已破格晋升为研究员。</w:t>
      </w:r>
    </w:p>
    <w:p w14:paraId="1A5CC953" w14:textId="77777777" w:rsidR="00A12B49" w:rsidRPr="0011641E" w:rsidRDefault="00A12B49" w:rsidP="0011641E">
      <w:pPr>
        <w:spacing w:line="360" w:lineRule="auto"/>
        <w:ind w:firstLine="420"/>
        <w:rPr>
          <w:rFonts w:ascii="宋体" w:eastAsia="宋体" w:hAnsi="宋体"/>
          <w:color w:val="000000" w:themeColor="text1"/>
          <w:sz w:val="24"/>
          <w:szCs w:val="28"/>
        </w:rPr>
      </w:pPr>
    </w:p>
    <w:sectPr w:rsidR="00A12B49" w:rsidRPr="0011641E">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163FD360" w14:textId="77777777" w:rsidR="00CE3CF9" w:rsidRDefault="00CE3CF9" w:rsidP="00E041B6">
      <w:r>
        <w:separator/>
      </w:r>
    </w:p>
  </w:endnote>
  <w:endnote w:type="continuationSeparator" w:id="0">
    <w:p w14:paraId="7D6C539D" w14:textId="77777777" w:rsidR="00CE3CF9" w:rsidRDefault="00CE3CF9" w:rsidP="00E041B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黑体">
    <w:altName w:val="SimHei"/>
    <w:panose1 w:val="02010609060101010101"/>
    <w:charset w:val="86"/>
    <w:family w:val="modern"/>
    <w:pitch w:val="fixed"/>
    <w:sig w:usb0="800002BF" w:usb1="38CF7CFA" w:usb2="00000016" w:usb3="00000000" w:csb0="00040001" w:csb1="00000000"/>
  </w:font>
  <w:font w:name="等线 Light">
    <w:panose1 w:val="02010600030101010101"/>
    <w:charset w:val="86"/>
    <w:family w:val="auto"/>
    <w:pitch w:val="variable"/>
    <w:sig w:usb0="A00002BF" w:usb1="38CF7CFA" w:usb2="00000016" w:usb3="00000000" w:csb0="0004000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6663B6AC" w14:textId="77777777" w:rsidR="00CE3CF9" w:rsidRDefault="00CE3CF9" w:rsidP="00E041B6">
      <w:r>
        <w:separator/>
      </w:r>
    </w:p>
  </w:footnote>
  <w:footnote w:type="continuationSeparator" w:id="0">
    <w:p w14:paraId="01C26E39" w14:textId="77777777" w:rsidR="00CE3CF9" w:rsidRDefault="00CE3CF9" w:rsidP="00E041B6">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20"/>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13926"/>
    <w:rsid w:val="00013926"/>
    <w:rsid w:val="00023C41"/>
    <w:rsid w:val="00094827"/>
    <w:rsid w:val="00097289"/>
    <w:rsid w:val="000A7FC8"/>
    <w:rsid w:val="000C7CA3"/>
    <w:rsid w:val="000D4F83"/>
    <w:rsid w:val="000D689B"/>
    <w:rsid w:val="0011641E"/>
    <w:rsid w:val="00141693"/>
    <w:rsid w:val="0015539F"/>
    <w:rsid w:val="00167C7A"/>
    <w:rsid w:val="00193006"/>
    <w:rsid w:val="00197D93"/>
    <w:rsid w:val="001A250A"/>
    <w:rsid w:val="001C6830"/>
    <w:rsid w:val="001F273A"/>
    <w:rsid w:val="002168FF"/>
    <w:rsid w:val="00240903"/>
    <w:rsid w:val="002541AA"/>
    <w:rsid w:val="002C7DAC"/>
    <w:rsid w:val="002F0BFD"/>
    <w:rsid w:val="00320245"/>
    <w:rsid w:val="00330E93"/>
    <w:rsid w:val="00352EE9"/>
    <w:rsid w:val="003641EB"/>
    <w:rsid w:val="00373D94"/>
    <w:rsid w:val="003E0949"/>
    <w:rsid w:val="004229A5"/>
    <w:rsid w:val="004752B2"/>
    <w:rsid w:val="00485F30"/>
    <w:rsid w:val="00486D78"/>
    <w:rsid w:val="004C59CC"/>
    <w:rsid w:val="00570947"/>
    <w:rsid w:val="005A234D"/>
    <w:rsid w:val="005A2A80"/>
    <w:rsid w:val="005C0930"/>
    <w:rsid w:val="005C22D4"/>
    <w:rsid w:val="005D029F"/>
    <w:rsid w:val="005E0C39"/>
    <w:rsid w:val="00682D19"/>
    <w:rsid w:val="0069381A"/>
    <w:rsid w:val="006A6F16"/>
    <w:rsid w:val="006D0275"/>
    <w:rsid w:val="006E10B9"/>
    <w:rsid w:val="007317C7"/>
    <w:rsid w:val="00746584"/>
    <w:rsid w:val="007931C2"/>
    <w:rsid w:val="007E0AF7"/>
    <w:rsid w:val="0083475A"/>
    <w:rsid w:val="0083779E"/>
    <w:rsid w:val="0085663C"/>
    <w:rsid w:val="0086592F"/>
    <w:rsid w:val="008740BE"/>
    <w:rsid w:val="008A757E"/>
    <w:rsid w:val="008F038E"/>
    <w:rsid w:val="0090468F"/>
    <w:rsid w:val="00931D74"/>
    <w:rsid w:val="00952686"/>
    <w:rsid w:val="00965C23"/>
    <w:rsid w:val="00A12B49"/>
    <w:rsid w:val="00A2037A"/>
    <w:rsid w:val="00A30273"/>
    <w:rsid w:val="00AC487D"/>
    <w:rsid w:val="00AF2A1E"/>
    <w:rsid w:val="00B03227"/>
    <w:rsid w:val="00B5497C"/>
    <w:rsid w:val="00B81E4B"/>
    <w:rsid w:val="00BD6ACD"/>
    <w:rsid w:val="00CD6AF4"/>
    <w:rsid w:val="00CE3CF9"/>
    <w:rsid w:val="00CF30DA"/>
    <w:rsid w:val="00D806F7"/>
    <w:rsid w:val="00DA671F"/>
    <w:rsid w:val="00DE0352"/>
    <w:rsid w:val="00E041B6"/>
    <w:rsid w:val="00E06C59"/>
    <w:rsid w:val="00E473D8"/>
    <w:rsid w:val="00E530BF"/>
    <w:rsid w:val="00E62C1D"/>
    <w:rsid w:val="00E77D3D"/>
    <w:rsid w:val="00EA0D39"/>
    <w:rsid w:val="00EF4642"/>
    <w:rsid w:val="00F154D8"/>
    <w:rsid w:val="00F26C68"/>
    <w:rsid w:val="00F429B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416B9854"/>
  <w15:chartTrackingRefBased/>
  <w15:docId w15:val="{D3A1C4B4-8736-4170-AD3C-9FFDB3D234B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unhideWhenUsed/>
    <w:rsid w:val="00E041B6"/>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rsid w:val="00E041B6"/>
    <w:rPr>
      <w:sz w:val="18"/>
      <w:szCs w:val="18"/>
    </w:rPr>
  </w:style>
  <w:style w:type="paragraph" w:styleId="a4">
    <w:name w:val="footer"/>
    <w:basedOn w:val="a"/>
    <w:link w:val="Char0"/>
    <w:uiPriority w:val="99"/>
    <w:unhideWhenUsed/>
    <w:rsid w:val="00E041B6"/>
    <w:pPr>
      <w:tabs>
        <w:tab w:val="center" w:pos="4153"/>
        <w:tab w:val="right" w:pos="8306"/>
      </w:tabs>
      <w:snapToGrid w:val="0"/>
      <w:jc w:val="left"/>
    </w:pPr>
    <w:rPr>
      <w:sz w:val="18"/>
      <w:szCs w:val="18"/>
    </w:rPr>
  </w:style>
  <w:style w:type="character" w:customStyle="1" w:styleId="Char0">
    <w:name w:val="页脚 Char"/>
    <w:basedOn w:val="a0"/>
    <w:link w:val="a4"/>
    <w:uiPriority w:val="99"/>
    <w:rsid w:val="00E041B6"/>
    <w:rPr>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11921029">
      <w:bodyDiv w:val="1"/>
      <w:marLeft w:val="0"/>
      <w:marRight w:val="0"/>
      <w:marTop w:val="0"/>
      <w:marBottom w:val="0"/>
      <w:divBdr>
        <w:top w:val="none" w:sz="0" w:space="0" w:color="auto"/>
        <w:left w:val="none" w:sz="0" w:space="0" w:color="auto"/>
        <w:bottom w:val="none" w:sz="0" w:space="0" w:color="auto"/>
        <w:right w:val="none" w:sz="0" w:space="0" w:color="auto"/>
      </w:divBdr>
    </w:div>
    <w:div w:id="519005605">
      <w:bodyDiv w:val="1"/>
      <w:marLeft w:val="0"/>
      <w:marRight w:val="0"/>
      <w:marTop w:val="0"/>
      <w:marBottom w:val="0"/>
      <w:divBdr>
        <w:top w:val="none" w:sz="0" w:space="0" w:color="auto"/>
        <w:left w:val="none" w:sz="0" w:space="0" w:color="auto"/>
        <w:bottom w:val="none" w:sz="0" w:space="0" w:color="auto"/>
        <w:right w:val="none" w:sz="0" w:space="0" w:color="auto"/>
      </w:divBdr>
    </w:div>
    <w:div w:id="686323000">
      <w:bodyDiv w:val="1"/>
      <w:marLeft w:val="0"/>
      <w:marRight w:val="0"/>
      <w:marTop w:val="0"/>
      <w:marBottom w:val="0"/>
      <w:divBdr>
        <w:top w:val="none" w:sz="0" w:space="0" w:color="auto"/>
        <w:left w:val="none" w:sz="0" w:space="0" w:color="auto"/>
        <w:bottom w:val="none" w:sz="0" w:space="0" w:color="auto"/>
        <w:right w:val="none" w:sz="0" w:space="0" w:color="auto"/>
      </w:divBdr>
    </w:div>
    <w:div w:id="948007220">
      <w:bodyDiv w:val="1"/>
      <w:marLeft w:val="0"/>
      <w:marRight w:val="0"/>
      <w:marTop w:val="0"/>
      <w:marBottom w:val="0"/>
      <w:divBdr>
        <w:top w:val="none" w:sz="0" w:space="0" w:color="auto"/>
        <w:left w:val="none" w:sz="0" w:space="0" w:color="auto"/>
        <w:bottom w:val="none" w:sz="0" w:space="0" w:color="auto"/>
        <w:right w:val="none" w:sz="0" w:space="0" w:color="auto"/>
      </w:divBdr>
    </w:div>
    <w:div w:id="1593784479">
      <w:bodyDiv w:val="1"/>
      <w:marLeft w:val="0"/>
      <w:marRight w:val="0"/>
      <w:marTop w:val="0"/>
      <w:marBottom w:val="0"/>
      <w:divBdr>
        <w:top w:val="none" w:sz="0" w:space="0" w:color="auto"/>
        <w:left w:val="none" w:sz="0" w:space="0" w:color="auto"/>
        <w:bottom w:val="none" w:sz="0" w:space="0" w:color="auto"/>
        <w:right w:val="none" w:sz="0" w:space="0" w:color="auto"/>
      </w:divBdr>
    </w:div>
    <w:div w:id="170108003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4</Pages>
  <Words>470</Words>
  <Characters>2679</Characters>
  <Application>Microsoft Office Word</Application>
  <DocSecurity>0</DocSecurity>
  <Lines>22</Lines>
  <Paragraphs>6</Paragraphs>
  <ScaleCrop>false</ScaleCrop>
  <Company/>
  <LinksUpToDate>false</LinksUpToDate>
  <CharactersWithSpaces>3143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XQ Huang</dc:creator>
  <cp:keywords/>
  <dc:description/>
  <cp:lastModifiedBy>lhp</cp:lastModifiedBy>
  <cp:revision>2</cp:revision>
  <dcterms:created xsi:type="dcterms:W3CDTF">2022-09-22T00:31:00Z</dcterms:created>
  <dcterms:modified xsi:type="dcterms:W3CDTF">2022-09-22T00:31:00Z</dcterms:modified>
</cp:coreProperties>
</file>