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5" w:rsidRDefault="003051A2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第一部分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投租文件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制作要求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Pr="00E343D5" w:rsidRDefault="003051A2">
      <w:pPr>
        <w:spacing w:line="360" w:lineRule="auto"/>
        <w:ind w:leftChars="-1" w:left="-2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一、所有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可用A4纸及黑色墨水或彩色墨水打印（如有图片文件需用彩打）。</w:t>
      </w:r>
    </w:p>
    <w:p w:rsidR="002D2E25" w:rsidRPr="00E343D5" w:rsidRDefault="003051A2">
      <w:pPr>
        <w:tabs>
          <w:tab w:val="left" w:pos="1262"/>
        </w:tabs>
        <w:spacing w:line="360" w:lineRule="auto"/>
        <w:ind w:rightChars="12" w:right="25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二、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一式六份：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一份正本，五份副本，如六本有不一致的地方，以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件正本为准。文件需装订成册后，与《投租报价函》一同密封包装，在封袋的封口处加盖单位公章，并在每一包装的封面上写明：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投租人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名称、地址、联系人和联系电话。</w:t>
      </w:r>
    </w:p>
    <w:p w:rsidR="002D2E25" w:rsidRPr="00E343D5" w:rsidRDefault="003051A2">
      <w:pPr>
        <w:spacing w:line="360" w:lineRule="auto"/>
        <w:ind w:rightChars="12" w:right="25" w:firstLineChars="200" w:firstLine="480"/>
        <w:rPr>
          <w:rFonts w:ascii="仿宋" w:eastAsia="仿宋" w:hAnsi="仿宋" w:cs="仿宋"/>
          <w:b/>
          <w:sz w:val="24"/>
          <w:szCs w:val="28"/>
          <w:u w:val="single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三、有效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需包含以下几点：</w:t>
      </w:r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（请按以下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自查表顺序进行排版并作为目录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制作投租文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件）</w:t>
      </w:r>
    </w:p>
    <w:p w:rsidR="002D2E25" w:rsidRPr="00E343D5" w:rsidRDefault="003051A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8"/>
        </w:rPr>
      </w:pPr>
      <w:proofErr w:type="gramStart"/>
      <w:r w:rsidRPr="00E343D5">
        <w:rPr>
          <w:rFonts w:ascii="仿宋" w:eastAsia="仿宋" w:hAnsi="仿宋" w:hint="eastAsia"/>
          <w:b/>
          <w:bCs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hint="eastAsia"/>
          <w:b/>
          <w:bCs/>
          <w:sz w:val="24"/>
          <w:szCs w:val="28"/>
        </w:rPr>
        <w:t>自查表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655"/>
        <w:gridCol w:w="1418"/>
        <w:gridCol w:w="1417"/>
      </w:tblGrid>
      <w:tr w:rsidR="002D2E25" w:rsidRPr="00E343D5">
        <w:trPr>
          <w:trHeight w:val="1060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自查内容</w:t>
            </w:r>
          </w:p>
        </w:tc>
        <w:tc>
          <w:tcPr>
            <w:tcW w:w="1418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sz w:val="20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自查结果</w:t>
            </w:r>
            <w:r w:rsidRPr="00E343D5">
              <w:rPr>
                <w:rFonts w:ascii="仿宋" w:eastAsia="仿宋" w:hAnsi="仿宋" w:hint="eastAsia"/>
                <w:b/>
                <w:bCs/>
                <w:sz w:val="16"/>
                <w:szCs w:val="18"/>
              </w:rPr>
              <w:t>（确认打“√”）</w:t>
            </w: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证明文件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经营同行业的时间（以</w:t>
            </w:r>
            <w:r w:rsidR="007C5E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营业执照</w:t>
            </w: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证件资料（营业执照、职业资格书等）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业绩（以合同复印件为准）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7"/>
        </w:trPr>
        <w:tc>
          <w:tcPr>
            <w:tcW w:w="731" w:type="dxa"/>
            <w:vAlign w:val="center"/>
          </w:tcPr>
          <w:p w:rsidR="002D2E25" w:rsidRPr="00E343D5" w:rsidRDefault="007C5E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/>
                <w:bCs/>
                <w:sz w:val="24"/>
                <w:szCs w:val="28"/>
              </w:rPr>
              <w:t>4</w:t>
            </w:r>
          </w:p>
        </w:tc>
        <w:tc>
          <w:tcPr>
            <w:tcW w:w="7655" w:type="dxa"/>
            <w:vAlign w:val="center"/>
          </w:tcPr>
          <w:p w:rsidR="002D2E25" w:rsidRPr="00E343D5" w:rsidRDefault="00E343D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承租经营方案、方案包括承诺书(承诺内容包括: 按时交缴租金等费用、遵纪守法、文明经商服务态度、服从管理等内容)、经营内容、经营策略、利润测算和管理办法等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8F249D" w:rsidRPr="00E343D5">
        <w:trPr>
          <w:trHeight w:val="307"/>
        </w:trPr>
        <w:tc>
          <w:tcPr>
            <w:tcW w:w="731" w:type="dxa"/>
            <w:vAlign w:val="center"/>
          </w:tcPr>
          <w:p w:rsidR="008F249D" w:rsidRPr="00E343D5" w:rsidRDefault="007C5E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/>
                <w:bCs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8F249D" w:rsidRPr="00E343D5" w:rsidRDefault="008F249D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8F249D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安全（环境）管理方案</w:t>
            </w:r>
          </w:p>
        </w:tc>
        <w:tc>
          <w:tcPr>
            <w:tcW w:w="1418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249D" w:rsidRPr="00E343D5" w:rsidRDefault="0088703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1"/>
        </w:trPr>
        <w:tc>
          <w:tcPr>
            <w:tcW w:w="731" w:type="dxa"/>
            <w:vAlign w:val="center"/>
          </w:tcPr>
          <w:p w:rsidR="002D2E25" w:rsidRPr="00E343D5" w:rsidRDefault="007C5E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bookmarkStart w:id="0" w:name="OLE_LINK2" w:colFirst="2" w:colLast="2"/>
            <w:r>
              <w:rPr>
                <w:rFonts w:ascii="仿宋" w:eastAsia="仿宋" w:hAnsi="仿宋"/>
                <w:bCs/>
                <w:sz w:val="24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函，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需投租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人签字、盖章确认。以租金</w:t>
            </w:r>
            <w:r w:rsidRPr="00E343D5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元/</w:t>
            </w:r>
            <w:r w:rsidR="0094500F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人民币进行报价。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——</w:t>
            </w:r>
          </w:p>
        </w:tc>
      </w:tr>
    </w:tbl>
    <w:bookmarkEnd w:id="0"/>
    <w:p w:rsidR="002D2E25" w:rsidRDefault="003051A2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重要提示：</w:t>
      </w:r>
      <w:r w:rsidR="0094500F">
        <w:rPr>
          <w:rFonts w:ascii="宋体" w:hAnsi="宋体" w:hint="eastAsia"/>
          <w:szCs w:val="21"/>
        </w:rPr>
        <w:t>1</w:t>
      </w:r>
      <w:r w:rsidR="0094500F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</w:t>
      </w:r>
      <w:proofErr w:type="gramEnd"/>
      <w:r>
        <w:rPr>
          <w:rFonts w:ascii="宋体" w:hAnsi="宋体" w:cs="仿宋" w:hint="eastAsia"/>
          <w:szCs w:val="21"/>
        </w:rPr>
        <w:t>人必须严格按照上表所列要求在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</w:t>
      </w:r>
      <w:proofErr w:type="gramEnd"/>
      <w:r>
        <w:rPr>
          <w:rFonts w:ascii="宋体" w:hAnsi="宋体" w:cs="仿宋" w:hint="eastAsia"/>
          <w:szCs w:val="21"/>
        </w:rPr>
        <w:t>件中对应如实提供，对资格性审查证明文件的任何缺漏和不符合项将会直接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</w:t>
      </w:r>
      <w:proofErr w:type="gramEnd"/>
      <w:r>
        <w:rPr>
          <w:rFonts w:ascii="宋体" w:hAnsi="宋体" w:cs="仿宋" w:hint="eastAsia"/>
          <w:szCs w:val="21"/>
        </w:rPr>
        <w:t>效。2、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</w:t>
      </w:r>
    </w:p>
    <w:p w:rsidR="002D2E25" w:rsidRDefault="003051A2">
      <w:pPr>
        <w:spacing w:before="72" w:after="72"/>
        <w:ind w:firstLineChars="1316" w:firstLine="3685"/>
        <w:jc w:val="right"/>
      </w:pPr>
      <w:r>
        <w:rPr>
          <w:rFonts w:ascii="仿宋" w:eastAsia="仿宋" w:hAnsi="仿宋" w:cs="仿宋" w:hint="eastAsia"/>
          <w:sz w:val="28"/>
          <w:szCs w:val="28"/>
        </w:rPr>
        <w:t>日期：   年   月   日</w:t>
      </w:r>
    </w:p>
    <w:p w:rsidR="001A2507" w:rsidRDefault="001A2507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投租报价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名称：                              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我方有意参与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贵校</w:t>
      </w:r>
      <w:r w:rsidR="00825838">
        <w:rPr>
          <w:rFonts w:ascii="仿宋" w:eastAsia="仿宋" w:hAnsi="仿宋" w:cs="仿宋" w:hint="eastAsia"/>
          <w:sz w:val="28"/>
          <w:szCs w:val="28"/>
        </w:rPr>
        <w:t>五</w:t>
      </w:r>
      <w:proofErr w:type="gramEnd"/>
      <w:r w:rsidR="00825838">
        <w:rPr>
          <w:rFonts w:ascii="仿宋" w:eastAsia="仿宋" w:hAnsi="仿宋" w:cs="仿宋" w:hint="eastAsia"/>
          <w:sz w:val="28"/>
          <w:szCs w:val="28"/>
        </w:rPr>
        <w:t>山</w:t>
      </w:r>
      <w:r>
        <w:rPr>
          <w:rFonts w:ascii="仿宋" w:eastAsia="仿宋" w:hAnsi="仿宋" w:cs="仿宋" w:hint="eastAsia"/>
          <w:sz w:val="28"/>
          <w:szCs w:val="28"/>
        </w:rPr>
        <w:t>校区</w:t>
      </w:r>
      <w:r w:rsidR="00825838">
        <w:rPr>
          <w:rFonts w:ascii="仿宋" w:eastAsia="仿宋" w:hAnsi="仿宋" w:cs="仿宋" w:hint="eastAsia"/>
          <w:sz w:val="28"/>
          <w:szCs w:val="28"/>
        </w:rPr>
        <w:t>房屋</w:t>
      </w:r>
      <w:r>
        <w:rPr>
          <w:rFonts w:ascii="仿宋" w:eastAsia="仿宋" w:hAnsi="仿宋" w:cs="仿宋" w:hint="eastAsia"/>
          <w:sz w:val="28"/>
          <w:szCs w:val="28"/>
        </w:rPr>
        <w:t>的投租，我方意向</w:t>
      </w:r>
      <w:r w:rsidR="00BE3ED6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租金</w:t>
      </w:r>
    </w:p>
    <w:p w:rsidR="002D2E25" w:rsidRDefault="003051A2" w:rsidP="00CE4F61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元/</w:t>
      </w:r>
      <w:r w:rsidR="0094500F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，我方经营范围是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我方的基本状况（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包据现有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资产情况、生产经营规模）及未来的展望：</w:t>
      </w: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                                    联系电话：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日期：    年    月     日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注：此报价函放置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于投租密封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函内</w:t>
      </w:r>
    </w:p>
    <w:p w:rsidR="002D2E25" w:rsidRDefault="002D2E25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649A6" w:rsidRDefault="002649A6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有下列情况之一者为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无效投租文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件：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未按招租文件规定封装及盖章，或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件份数不满足招租文件要求的；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未按招租文件规定加盖公章，文件里面无法定代表人证明书和法人授权托委托书，无签名和盖章的；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内容字迹模糊，无法辨认的；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未在规定时间内送达的；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（五）本招租文件技术指标要求中，对于重要的技术指标要求，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必须完全满足或优于这些要求，若有一项重要指标未响应或低于指标要求的，将视为不合格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2D2E25" w:rsidRDefault="003051A2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对招租文件如有疑点要求澄清，在提交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件后3天内，应以书面形式通知招租人。</w:t>
      </w:r>
    </w:p>
    <w:p w:rsidR="002D2E25" w:rsidRDefault="002D2E25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1" w:name="_Toc121844271"/>
    </w:p>
    <w:bookmarkEnd w:id="1"/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24EFB" w:rsidRDefault="00224EFB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第二部分 评租标准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2880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本次招租是在“公平、公开、公正”原则上，面向全社会进行的公开招租，并由华南理工大学审计处、纪监</w:t>
      </w:r>
      <w:r w:rsidR="00E177A2"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、资产处、财务处等部门全程监督。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评租文件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合格性审查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评租小组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对所有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件进行合格性审查，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审查合格的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件才可进入后续评分及其他评审</w:t>
      </w:r>
      <w:r>
        <w:rPr>
          <w:rFonts w:ascii="仿宋" w:eastAsia="仿宋" w:hAnsi="仿宋" w:cs="仿宋" w:hint="eastAsia"/>
          <w:sz w:val="28"/>
          <w:szCs w:val="28"/>
        </w:rPr>
        <w:t>，审查不合格的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件为无效投租，无效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得进入后续评审。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审查项目包括：1.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的合格性（主要包括注册资本要求和相关证明文件要求）；2.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的完整性；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是否为有效签署；4.对招租文件的响应情况；5.经营范围是否符合招租文件要求。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sz w:val="28"/>
          <w:szCs w:val="28"/>
        </w:rPr>
        <w:t>评分组成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商务技术评分+价格分</w:t>
      </w:r>
    </w:p>
    <w:p w:rsidR="002D2E25" w:rsidRDefault="003051A2">
      <w:pPr>
        <w:spacing w:line="360" w:lineRule="auto"/>
        <w:ind w:right="278" w:firstLineChars="250" w:firstLine="7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评租方法</w:t>
      </w:r>
    </w:p>
    <w:p w:rsidR="002D2E25" w:rsidRDefault="003051A2">
      <w:pPr>
        <w:spacing w:line="360" w:lineRule="auto"/>
        <w:ind w:right="278" w:firstLineChars="302" w:firstLine="8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)商务技术评分：</w:t>
      </w:r>
    </w:p>
    <w:p w:rsidR="002D2E25" w:rsidRDefault="003051A2">
      <w:pPr>
        <w:tabs>
          <w:tab w:val="left" w:pos="426"/>
        </w:tabs>
        <w:spacing w:line="360" w:lineRule="auto"/>
        <w:ind w:leftChars="67" w:left="141"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商务技术评分主要依据招租文件由各评委独立打分，再根据各评委的评分结果计算算术平均值，即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得出投租人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的商务技术分值。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(二)价格分： 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①各投租人租金报价的算术平均值的价格为基准价格。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准价时, 其分项价格分为满分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0分；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准价|/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准价/0.01* 1；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价＜评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基准价|/评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基准价/0.01* 2。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得分四舍五入后，小数点后保留两位有效数。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(三)总分：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的总分＝商务技术分＋价格分，满分为100分。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根据投租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人的最终得分，推荐最高得分为中租人，得分第二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为备选单位。如出现最高分同分现象（即有两家或两家以上的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取得相同分数），则报价高者中租；若报价仍相同，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通过投票确定中租单位。</w:t>
      </w:r>
    </w:p>
    <w:p w:rsidR="002D2E25" w:rsidRDefault="00BD1E74" w:rsidP="00BD1E74">
      <w:pPr>
        <w:spacing w:line="360" w:lineRule="auto"/>
        <w:ind w:left="420" w:right="278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3051A2">
        <w:rPr>
          <w:rFonts w:ascii="仿宋" w:eastAsia="仿宋" w:hAnsi="仿宋" w:cs="仿宋" w:hint="eastAsia"/>
          <w:bCs/>
          <w:sz w:val="28"/>
          <w:szCs w:val="28"/>
        </w:rPr>
        <w:t>评分细则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282"/>
      </w:tblGrid>
      <w:tr w:rsidR="002D2E25" w:rsidTr="008D7F39">
        <w:trPr>
          <w:trHeight w:val="315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D2E25">
        <w:trPr>
          <w:trHeight w:val="17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1A2507" w:rsidP="006D0AB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="0061180D">
              <w:rPr>
                <w:rFonts w:ascii="宋体" w:hAnsi="宋体" w:cs="宋体" w:hint="eastAsia"/>
                <w:kern w:val="0"/>
                <w:szCs w:val="21"/>
              </w:rPr>
              <w:t>企业总部管理</w:t>
            </w:r>
            <w:r w:rsidR="00570C5E">
              <w:rPr>
                <w:rFonts w:ascii="宋体" w:hAnsi="宋体" w:cs="宋体" w:hint="eastAsia"/>
                <w:kern w:val="0"/>
                <w:szCs w:val="21"/>
              </w:rPr>
              <w:t>行业</w:t>
            </w:r>
            <w:r w:rsidR="003051A2">
              <w:rPr>
                <w:rFonts w:ascii="宋体" w:hAnsi="宋体" w:cs="宋体" w:hint="eastAsia"/>
                <w:kern w:val="0"/>
                <w:szCs w:val="21"/>
              </w:rPr>
              <w:t>的时间超过5年（含5年）以上者，得10分；达4年者，得8分；达3年者，得5分；低于3年者得0分。（</w:t>
            </w:r>
            <w:r w:rsidR="007F3332" w:rsidRPr="00272C75">
              <w:rPr>
                <w:rFonts w:ascii="宋体" w:hAnsi="宋体" w:cs="宋体" w:hint="eastAsia"/>
                <w:kern w:val="0"/>
                <w:szCs w:val="21"/>
              </w:rPr>
              <w:t>以营业执照</w:t>
            </w:r>
            <w:r w:rsidR="007F3332">
              <w:rPr>
                <w:rFonts w:ascii="宋体" w:hAnsi="宋体" w:cs="宋体" w:hint="eastAsia"/>
                <w:kern w:val="0"/>
                <w:szCs w:val="21"/>
              </w:rPr>
              <w:t>为准</w:t>
            </w:r>
            <w:r w:rsidR="003051A2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2D2E25">
        <w:trPr>
          <w:trHeight w:val="92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</w:t>
            </w:r>
            <w:r w:rsidRPr="00F03359">
              <w:rPr>
                <w:rFonts w:ascii="宋体" w:hAnsi="宋体" w:cs="宋体" w:hint="eastAsia"/>
                <w:kern w:val="0"/>
                <w:szCs w:val="21"/>
              </w:rPr>
              <w:t>、资格证书等</w:t>
            </w:r>
            <w:r>
              <w:rPr>
                <w:rFonts w:ascii="宋体" w:hAnsi="宋体" w:cs="宋体" w:hint="eastAsia"/>
                <w:kern w:val="0"/>
                <w:szCs w:val="21"/>
              </w:rPr>
              <w:t>证件齐全者得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分；不能提供齐全者得0分。</w:t>
            </w:r>
          </w:p>
        </w:tc>
      </w:tr>
      <w:tr w:rsidR="002D2E25">
        <w:trPr>
          <w:trHeight w:val="113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从2018年至今，投租人与普通高校、机关、事业单位签订场地租赁合同情况（以场地、房屋租赁合同复印件为准），每</w:t>
            </w:r>
            <w:r w:rsidR="008A7FC1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个合同得</w:t>
            </w:r>
            <w:r w:rsidR="008A7FC1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2D2E25">
        <w:trPr>
          <w:trHeight w:val="113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8F249D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</w:p>
        </w:tc>
      </w:tr>
      <w:tr w:rsidR="002D2E25">
        <w:trPr>
          <w:trHeight w:val="1134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</w:t>
            </w:r>
            <w:r>
              <w:rPr>
                <w:rFonts w:ascii="宋体" w:hAnsi="宋体" w:cs="Courier New"/>
                <w:kern w:val="0"/>
                <w:szCs w:val="21"/>
              </w:rPr>
              <w:t>0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横向综合对比安全保障措施（含</w:t>
            </w: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>门前三包、消防安全方案、用电用气安全方案、维护学校设施财产安全）的保证措施方案以及突发事件应急预案以及环境保洁程序方案、垃圾分类和处理方案等，最高得10分。不提供不得分。</w:t>
            </w:r>
          </w:p>
        </w:tc>
      </w:tr>
      <w:tr w:rsidR="002D2E25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BD1E7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5</w:t>
            </w:r>
            <w:r w:rsidR="003051A2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根据价格分计算方法，由Excel价格评分表自动计算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出投租人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的价格分</w:t>
            </w:r>
          </w:p>
        </w:tc>
      </w:tr>
    </w:tbl>
    <w:p w:rsidR="002D2E25" w:rsidRDefault="002D2E25" w:rsidP="00E343D5">
      <w:pPr>
        <w:spacing w:line="360" w:lineRule="auto"/>
        <w:ind w:leftChars="200" w:left="420" w:right="278"/>
      </w:pPr>
    </w:p>
    <w:sectPr w:rsidR="002D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D6A" w:rsidRDefault="002D4D6A" w:rsidP="00CE4F61">
      <w:r>
        <w:separator/>
      </w:r>
    </w:p>
  </w:endnote>
  <w:endnote w:type="continuationSeparator" w:id="0">
    <w:p w:rsidR="002D4D6A" w:rsidRDefault="002D4D6A" w:rsidP="00C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D6A" w:rsidRDefault="002D4D6A" w:rsidP="00CE4F61">
      <w:r>
        <w:separator/>
      </w:r>
    </w:p>
  </w:footnote>
  <w:footnote w:type="continuationSeparator" w:id="0">
    <w:p w:rsidR="002D4D6A" w:rsidRDefault="002D4D6A" w:rsidP="00CE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92D25"/>
    <w:multiLevelType w:val="singleLevel"/>
    <w:tmpl w:val="E9B92D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58E54D"/>
    <w:multiLevelType w:val="singleLevel"/>
    <w:tmpl w:val="5658E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F242DA"/>
    <w:rsid w:val="000514A7"/>
    <w:rsid w:val="000717BD"/>
    <w:rsid w:val="000902C7"/>
    <w:rsid w:val="000D16F1"/>
    <w:rsid w:val="000D6042"/>
    <w:rsid w:val="000F5D26"/>
    <w:rsid w:val="001A2507"/>
    <w:rsid w:val="001C60B5"/>
    <w:rsid w:val="001E5E00"/>
    <w:rsid w:val="00224EFB"/>
    <w:rsid w:val="002649A6"/>
    <w:rsid w:val="002D2E25"/>
    <w:rsid w:val="002D4D6A"/>
    <w:rsid w:val="002F2575"/>
    <w:rsid w:val="003051A2"/>
    <w:rsid w:val="00334EF8"/>
    <w:rsid w:val="0035482E"/>
    <w:rsid w:val="003B5ACB"/>
    <w:rsid w:val="004369AC"/>
    <w:rsid w:val="0053283D"/>
    <w:rsid w:val="0054553A"/>
    <w:rsid w:val="00570C5E"/>
    <w:rsid w:val="005813F0"/>
    <w:rsid w:val="005E1CF0"/>
    <w:rsid w:val="00605FBD"/>
    <w:rsid w:val="0061180D"/>
    <w:rsid w:val="0062037D"/>
    <w:rsid w:val="00627699"/>
    <w:rsid w:val="00696DEE"/>
    <w:rsid w:val="006A1E68"/>
    <w:rsid w:val="006D0AB5"/>
    <w:rsid w:val="007843AE"/>
    <w:rsid w:val="007C4821"/>
    <w:rsid w:val="007C5ED5"/>
    <w:rsid w:val="007F3332"/>
    <w:rsid w:val="007F42D4"/>
    <w:rsid w:val="00825838"/>
    <w:rsid w:val="008356E5"/>
    <w:rsid w:val="008360CA"/>
    <w:rsid w:val="00887039"/>
    <w:rsid w:val="008A7FC1"/>
    <w:rsid w:val="008B478A"/>
    <w:rsid w:val="008C1D7B"/>
    <w:rsid w:val="008D7F39"/>
    <w:rsid w:val="008F249D"/>
    <w:rsid w:val="00922D01"/>
    <w:rsid w:val="0094500F"/>
    <w:rsid w:val="00946723"/>
    <w:rsid w:val="00972A09"/>
    <w:rsid w:val="009D691E"/>
    <w:rsid w:val="00A5702F"/>
    <w:rsid w:val="00A62869"/>
    <w:rsid w:val="00AF6A4A"/>
    <w:rsid w:val="00B4173D"/>
    <w:rsid w:val="00B45896"/>
    <w:rsid w:val="00BB7847"/>
    <w:rsid w:val="00BC1011"/>
    <w:rsid w:val="00BD1E74"/>
    <w:rsid w:val="00BD4E91"/>
    <w:rsid w:val="00BE3ED6"/>
    <w:rsid w:val="00C16731"/>
    <w:rsid w:val="00C63DC5"/>
    <w:rsid w:val="00CE4F61"/>
    <w:rsid w:val="00D9669C"/>
    <w:rsid w:val="00E177A2"/>
    <w:rsid w:val="00E343D5"/>
    <w:rsid w:val="00E73353"/>
    <w:rsid w:val="00E770E8"/>
    <w:rsid w:val="00E94D73"/>
    <w:rsid w:val="00F03359"/>
    <w:rsid w:val="00F93FAC"/>
    <w:rsid w:val="03866ADF"/>
    <w:rsid w:val="03C12976"/>
    <w:rsid w:val="076D6082"/>
    <w:rsid w:val="1E523E22"/>
    <w:rsid w:val="20CA4018"/>
    <w:rsid w:val="2B2D0EAA"/>
    <w:rsid w:val="301B43FA"/>
    <w:rsid w:val="39466CC4"/>
    <w:rsid w:val="3A5268EE"/>
    <w:rsid w:val="4087421E"/>
    <w:rsid w:val="49B0538F"/>
    <w:rsid w:val="4B2E17BA"/>
    <w:rsid w:val="545E4724"/>
    <w:rsid w:val="59101ECE"/>
    <w:rsid w:val="5BD21546"/>
    <w:rsid w:val="66BA0DBA"/>
    <w:rsid w:val="67F242DA"/>
    <w:rsid w:val="747C7D96"/>
    <w:rsid w:val="74801C5F"/>
    <w:rsid w:val="7B9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8F47C9-23C7-4BAD-A359-30C829B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Aaa</dc:creator>
  <cp:lastModifiedBy>闵筱薇</cp:lastModifiedBy>
  <cp:revision>43</cp:revision>
  <dcterms:created xsi:type="dcterms:W3CDTF">2021-07-11T09:25:00Z</dcterms:created>
  <dcterms:modified xsi:type="dcterms:W3CDTF">2024-09-26T02:44:00Z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