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keepLines/>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sz w:val="32"/>
          <w:szCs w:val="32"/>
        </w:rPr>
      </w:pPr>
      <w:bookmarkStart w:id="0" w:name="_Toc19834"/>
      <w:bookmarkStart w:id="9" w:name="_GoBack"/>
      <w:r>
        <w:rPr>
          <w:rFonts w:hint="eastAsia" w:ascii="黑体" w:hAnsi="黑体" w:eastAsia="黑体" w:cs="黑体"/>
          <w:sz w:val="32"/>
          <w:szCs w:val="32"/>
        </w:rPr>
        <w:t>华南理工大学专业技术职务申报条件（2017年修订）</w:t>
      </w:r>
      <w:bookmarkEnd w:id="0"/>
    </w:p>
    <w:p>
      <w:pPr>
        <w:pStyle w:val="4"/>
        <w:keepNext/>
        <w:keepLines/>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sz w:val="32"/>
          <w:szCs w:val="32"/>
        </w:rPr>
      </w:pPr>
      <w:bookmarkStart w:id="1" w:name="_Toc12833"/>
      <w:r>
        <w:rPr>
          <w:rFonts w:hint="eastAsia" w:ascii="黑体" w:hAnsi="黑体" w:eastAsia="黑体" w:cs="黑体"/>
          <w:sz w:val="32"/>
          <w:szCs w:val="32"/>
        </w:rPr>
        <w:t>音乐舞蹈类教师系列</w:t>
      </w:r>
      <w:bookmarkEnd w:id="1"/>
    </w:p>
    <w:bookmarkEnd w:id="9"/>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我校在编在岗从事音乐、舞蹈教学和科研工作的教师，遵守教师职业道德规范，考核合格，符合学校规定的申报资格和下列条件者，可按岗申报相应专业技术职务。申报教授和副教授人员，本科生评教结果平均分不低于4. 3分；申报教授人员，研究生评教平均分结果不低于85分,申报副教授人员，研究生评教结果平均分不低于80分；申报人员担任班主任期间考核良好以上。以教学为主教师近5年在本学院平均评教排名需达到前50%，2018年9月1日起，还需同时达到学校教学综合评价本科课程4. 3分以上、研究生课程85分以上。2015年1月1日以后进校工作申报副教授的人员，原则上需具有连续一年以上出国（境）学习或工作经历（符合学校减免出国（境）条件者除外）；申报正高者减免出国，但近8年须具有累计一年以上在本学科领域排名前列的国内高校学习或工作的经历。</w:t>
      </w:r>
    </w:p>
    <w:p>
      <w:pPr>
        <w:keepNext/>
        <w:keepLines/>
        <w:pageBreakBefore w:val="0"/>
        <w:widowControl w:val="0"/>
        <w:kinsoku/>
        <w:wordWrap/>
        <w:overflowPunct/>
        <w:topLinePunct w:val="0"/>
        <w:autoSpaceDE/>
        <w:autoSpaceDN/>
        <w:bidi w:val="0"/>
        <w:adjustRightInd/>
        <w:snapToGrid/>
        <w:spacing w:before="260" w:after="260" w:line="560" w:lineRule="exact"/>
        <w:jc w:val="center"/>
        <w:textAlignment w:val="auto"/>
        <w:outlineLvl w:val="2"/>
        <w:rPr>
          <w:rFonts w:hint="eastAsia" w:ascii="黑体" w:hAnsi="黑体" w:eastAsia="黑体" w:cs="黑体"/>
          <w:b w:val="0"/>
          <w:bCs w:val="0"/>
          <w:color w:val="000000"/>
          <w:sz w:val="28"/>
          <w:szCs w:val="28"/>
        </w:rPr>
      </w:pPr>
      <w:r>
        <w:rPr>
          <w:rFonts w:hint="eastAsia" w:ascii="黑体" w:hAnsi="黑体" w:eastAsia="黑体" w:cs="黑体"/>
          <w:b w:val="0"/>
          <w:bCs w:val="0"/>
          <w:color w:val="000000"/>
          <w:sz w:val="28"/>
          <w:szCs w:val="28"/>
        </w:rPr>
        <w:t>教授</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具备下列必备条件，同时具备选择条件中的1条，或符合破格申报条件。</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bookmarkStart w:id="2" w:name="_Toc13727"/>
      <w:r>
        <w:rPr>
          <w:rFonts w:hint="eastAsia" w:ascii="仿宋_GB2312" w:hAnsi="仿宋" w:eastAsia="仿宋_GB2312" w:cs="Times New Roman"/>
          <w:color w:val="000000"/>
          <w:sz w:val="28"/>
          <w:szCs w:val="28"/>
        </w:rPr>
        <w:t>一、必备条件</w:t>
      </w:r>
      <w:bookmarkEnd w:id="2"/>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（一） 1960年1月1日以后出生的教师原则上应具有博士学位，且获博士学位后任副高专业技术职务5年以上。1959年12月31日以前出生的教师，若无博士学位，获硕士学位后任副高专业技术职务7年以上或本科毕业后任副高专业技术职务10年以上。其中现任副教授1年以上。</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（二）除必须保质保量完成学院下达的教学任务，包括授课任务、指导本科生和研究生实习、毕业论文（设计）等外,还应满足以下教学授课学时要求：</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教学和科研并重的教师，至少主讲过1门本科课程，年均授课240实际学时，其中讲授全日制学生公共基础课或必修课不低于年均120实际学时。</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以教学为主的教师，至少主讲过2门本科课程，每年至少主讲1门全校性基础课、公共课、通选课，或专业基础课、技术基础课，年均授课360实际学时，其中讲授全日制学生公共基础课或必修课不低于年均180实际学时。</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申报条件中的授课实际学时数为学校最低要求，学院可根据实际情况提高要求，报学校备案后执行。</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（三）主持省部级项目1项；或主持厅局级项目1项，并获得C类成果1项或公开出版个人专集2部；或主持项目2项，并获得C类成果2项或公开出版个人专集3部。</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（四）教学和科研并重的教师，发表C类论文2篇或E类论文6篇；以教学为主的教师，发表C类论文1篇或E类论文3篇。</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ascii="仿宋" w:hAnsi="仿宋" w:eastAsia="仿宋"/>
          <w:color w:val="000000"/>
          <w:sz w:val="28"/>
          <w:szCs w:val="28"/>
        </w:rPr>
      </w:pPr>
      <w:r>
        <w:rPr>
          <w:rFonts w:hint="eastAsia" w:ascii="仿宋_GB2312" w:hAnsi="仿宋" w:eastAsia="仿宋_GB2312" w:cs="Times New Roman"/>
          <w:color w:val="000000"/>
          <w:sz w:val="28"/>
          <w:szCs w:val="28"/>
        </w:rPr>
        <w:t>（五）熟练应用计算机辅助教学和科研工作。</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六）近5年内理论专业教师须公开举办一场学术讲座（纯讲座时间不少于120分钟），舞蹈表演专业教师须创编一台舞蹈晚会（纯节目时间不少于60分钟），音乐表演专业教师须举办一场个人音乐会（纯节目时间不少于60分钟）。（以上音乐会</w:t>
      </w:r>
      <w:r>
        <w:rPr>
          <w:rFonts w:hint="eastAsia" w:ascii="仿宋_GB2312" w:hAnsi="仿宋" w:eastAsia="仿宋_GB2312" w:cs="Times New Roman"/>
          <w:color w:val="000000"/>
          <w:sz w:val="28"/>
          <w:szCs w:val="28"/>
          <w:lang w:eastAsia="zh-CN"/>
        </w:rPr>
        <w:t>、舞蹈</w:t>
      </w:r>
      <w:r>
        <w:rPr>
          <w:rFonts w:hint="eastAsia" w:ascii="仿宋_GB2312" w:hAnsi="仿宋" w:eastAsia="仿宋_GB2312" w:cs="Times New Roman"/>
          <w:color w:val="000000"/>
          <w:sz w:val="28"/>
          <w:szCs w:val="28"/>
        </w:rPr>
        <w:t>晚会、讲座）举办前须先报批学院，学术水准由学院学术委员会以打分方式集体评定，85分以上为合格）。（2018年9月1日起执行）</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bookmarkStart w:id="3" w:name="_Toc31674"/>
      <w:r>
        <w:rPr>
          <w:rFonts w:hint="eastAsia" w:ascii="仿宋_GB2312" w:hAnsi="仿宋" w:eastAsia="仿宋_GB2312" w:cs="Times New Roman"/>
          <w:color w:val="000000"/>
          <w:sz w:val="28"/>
          <w:szCs w:val="28"/>
        </w:rPr>
        <w:t>二、选择条件</w:t>
      </w:r>
      <w:bookmarkEnd w:id="3"/>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（一）教学科研并重</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1.发表C类论文 2篇和E类论文6篇；或获E类以上成果5项和发表E类论文7篇。</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2.获国家级教学成果一等奖排名前五；或获国家级教学成果二等奖排名前四；或获省级教学成果一等奖排名前三；或获省部级优秀教材一等奖排名前三。</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3.在出版社出版主编专著、译著1部；或主编国家级统编教材、国家级规划教材1部；或主编教材、工具书2部；或主编著作、教材、工具书、译著1部，参编著作、教材、工具书、译著1部，本人撰写20万字。</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4.主持国家级项目1项，或主持省部级项目2项。</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（二）以教学为主</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 xml:space="preserve">1.发表E类论文9篇，其中教学研究论文3篇。 </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2.获国家级教学成果一等奖排名前五；或获国家级教学成果二等奖排名前四；或获省级教学成果一等奖排名前三；或获省部级优秀教材一等奖排名前三。</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3.主编国家级统编教材、国家级规划教材1部；或主编省部级统编教材、规划教材、专著、译著2部；或主编著作、教材、工具书1部，参编著作、教材、工具书、译著1部，本人撰写20万字。</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4.国家级精品课程（包括国家级精品资源共享课、国家级精品视频公开课等）排名前四；或省级精品课程（包括省级精品资源共享课、省级精品视频公开课等）排名前三；或国家级实验教学示范中心和国家级虚拟仿真实验教学中心排名前四；或省级实验教学示范中心和省级虚拟仿真实验教学中心排名前三。</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5.主持省部级项目和厅局级项目各1项;或主持省部级教研教改项目2项。</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bookmarkStart w:id="4" w:name="_Toc5716"/>
      <w:r>
        <w:rPr>
          <w:rFonts w:hint="eastAsia" w:ascii="仿宋_GB2312" w:hAnsi="仿宋" w:eastAsia="仿宋_GB2312" w:cs="Times New Roman"/>
          <w:color w:val="000000"/>
          <w:sz w:val="28"/>
          <w:szCs w:val="28"/>
        </w:rPr>
        <w:t>三、破格申报条件</w:t>
      </w:r>
      <w:bookmarkEnd w:id="4"/>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现任副教授1年以上成绩突出但任职年限未达到申报教授必备条件者，满足以下条件可破格申报。</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（一）申请破格的教师须具有博士学位，同时符合必备条件中的第（二）、（三）、（四）、（五）和（六）条。</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（二）得到学术界同行专家公认，有3名省外同行教授专家推荐信。</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（三）具备下列条件中的1条：</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1.发表B类论文3篇；或发表C类论文8篇。</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2.主持国家级和省部级项目各1项。</w:t>
      </w:r>
    </w:p>
    <w:p>
      <w:pPr>
        <w:keepNext/>
        <w:keepLines/>
        <w:pageBreakBefore w:val="0"/>
        <w:widowControl w:val="0"/>
        <w:kinsoku/>
        <w:wordWrap/>
        <w:overflowPunct/>
        <w:topLinePunct w:val="0"/>
        <w:autoSpaceDE/>
        <w:autoSpaceDN/>
        <w:bidi w:val="0"/>
        <w:adjustRightInd/>
        <w:snapToGrid/>
        <w:spacing w:before="260" w:after="260" w:line="560" w:lineRule="exact"/>
        <w:jc w:val="center"/>
        <w:textAlignment w:val="auto"/>
        <w:outlineLvl w:val="2"/>
        <w:rPr>
          <w:rFonts w:hint="eastAsia" w:ascii="黑体" w:hAnsi="黑体" w:eastAsia="黑体" w:cs="黑体"/>
          <w:b w:val="0"/>
          <w:bCs w:val="0"/>
          <w:color w:val="000000"/>
          <w:sz w:val="28"/>
          <w:szCs w:val="28"/>
        </w:rPr>
      </w:pPr>
      <w:r>
        <w:rPr>
          <w:rFonts w:hint="eastAsia" w:ascii="黑体" w:hAnsi="黑体" w:eastAsia="黑体" w:cs="黑体"/>
          <w:b w:val="0"/>
          <w:bCs w:val="0"/>
          <w:color w:val="000000"/>
          <w:sz w:val="28"/>
          <w:szCs w:val="28"/>
        </w:rPr>
        <w:t>副教授</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具备下列必备条件，同时具备选择条件中的1条，或符合破格申报条件。</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bookmarkStart w:id="5" w:name="_Toc26876"/>
      <w:r>
        <w:rPr>
          <w:rFonts w:hint="eastAsia" w:ascii="仿宋_GB2312" w:hAnsi="仿宋" w:eastAsia="仿宋_GB2312" w:cs="Times New Roman"/>
          <w:color w:val="000000"/>
          <w:sz w:val="28"/>
          <w:szCs w:val="28"/>
        </w:rPr>
        <w:t>一、必备条件</w:t>
      </w:r>
      <w:bookmarkEnd w:id="5"/>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一）已获副研究员资格期满出站来校工作的博士后研究人员，或期满出站的博士后研究人员到我校从事教学科研工作1年以上，或获博士学位后任中级专业技术职务3年以上，或获硕士学位后任中级专业技术职务5年以上，或本科毕业后任中级专业技术职务7年以上；除期满出站来校工作的博士后研究人员外，其余人员要求现任讲师1年以上。</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（二）除必须保质保量完成学院下达的教学任务，包括授课任务、指导本科生和研究生实习、毕业论文（设计）等外,还应满足以下教学授课学时要求：</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教学科研并重的教师，至少主讲过2门本科课程，年均授课240实际学时，其中讲授全日制学生公共基础课或必修课不低于年均120实际学时。</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以教学为主的教师，至少主讲过2门本科课程，每年至少主讲1门全校性基础课、公共课、通选课，或专业基础课、技术基础课，年均授课360实际学时，其中讲授全日制学生公共基础课或必修课不低于年均180实际学时。</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申报条件中的授课实际学时数为学校最低要求，学院可根据实际情况提高要求，报学校备案后执行。</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（三）任现职以来任班主任（或研究生级主任）1年以上。</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（四）主持厅局级项目1项；或主持校级项目1项或主持项目2项，并获得E类成果1项或公开出版个人专集1部。</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（五）发表E类论文2篇。</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（六）熟练应用计算机辅助教学和科研工作。</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七）近5年内理论专业教师须公开举办一场学术讲座（纯讲座时间不少于120分钟），舞蹈表演专业教师须创编一台舞蹈晚会（纯节目时间不少于60分钟），音乐表演专业教师须举办一场个人音乐会（纯节目时间不少于60分钟）。（以上音乐会（晚会、讲座）举办前须先报批学院，学术水准由学院学术委员会以打分方式集体评定， 85分以上为合格）。（2018年9月1日起执行）</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bookmarkStart w:id="6" w:name="_Toc3600"/>
      <w:r>
        <w:rPr>
          <w:rFonts w:hint="eastAsia" w:ascii="仿宋_GB2312" w:hAnsi="仿宋" w:eastAsia="仿宋_GB2312" w:cs="Times New Roman"/>
          <w:color w:val="000000"/>
          <w:sz w:val="28"/>
          <w:szCs w:val="28"/>
        </w:rPr>
        <w:t>二、选择条件</w:t>
      </w:r>
      <w:bookmarkEnd w:id="6"/>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1.发表E类论文6篇。</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2.获国家级教学成果二等奖排名前五；或获省级教学成果一等奖排名前四，或二等奖排名前三名;或获省部级优秀教材一等奖排名前四，或二等奖排名前三名；或获南光奖、教学优秀一等奖累计3次。</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3.在出版社出版专著、译著1部；或作为副主编参编国家级统编教材、国家级规划教材1部，本人撰写10万字；或主编教材、教参、工具书1部，本人撰写15万字。</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4.国家级精品课程（包括国家级精品资源共享课、国家级精品视频公开课等）排名前五；或省级精品课程（包括省级精品资源共享课、省级精品视频公开课等）排名前四，并在工作中取得阶段性成果；或国家级实验教学示范中心和国家级虚拟仿真实验教学中心排名前五；或省级实验教学示范中心和省级虚拟仿真实验教学中心排名前四，并在工作中取得阶段性成果；或校级精品课程或重点课程排名前二，并在工作中取得阶段性成果，本人成绩突出。</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5.以科研为主、教学科研并重的教师主持省部级项目1项，或主持厅局级项目2项。</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以教学为主教师主持省部级项目1项，或主持厅局级项目2项，或主持省部级教研教改项目1项和校级教研教改项目2项。</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bookmarkStart w:id="7" w:name="_Toc31324"/>
      <w:r>
        <w:rPr>
          <w:rFonts w:hint="eastAsia" w:ascii="仿宋_GB2312" w:hAnsi="仿宋" w:eastAsia="仿宋_GB2312" w:cs="Times New Roman"/>
          <w:color w:val="000000"/>
          <w:sz w:val="28"/>
          <w:szCs w:val="28"/>
        </w:rPr>
        <w:t>三、破格申报条件</w:t>
      </w:r>
      <w:bookmarkEnd w:id="7"/>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现任讲师1年以上成绩突出但任职年限未达到申报副教授必备条件者，满足以下条件可破格申报。</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（一）申请破格的教师须具有硕士学位，同时符合必备条件中的第（二）、（三）、（四）、（五）、（六）和（七）条。</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（二）得到学术界同行专家公认，需有2名省外同行教授专家推荐信。</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（三）具备下列条件中的1条：</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1.发表B类论文1篇；或发表C类论文4篇。</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2.获国家级教学成果一等奖排名前五；或二等奖排名前四；或省级教学成果一等奖排名第一。</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3.主持省部级项目2项。</w:t>
      </w:r>
    </w:p>
    <w:p>
      <w:pPr>
        <w:keepNext/>
        <w:keepLines/>
        <w:pageBreakBefore w:val="0"/>
        <w:widowControl w:val="0"/>
        <w:kinsoku/>
        <w:wordWrap/>
        <w:overflowPunct/>
        <w:topLinePunct w:val="0"/>
        <w:autoSpaceDE/>
        <w:autoSpaceDN/>
        <w:bidi w:val="0"/>
        <w:adjustRightInd/>
        <w:snapToGrid/>
        <w:spacing w:before="260" w:after="260" w:line="560" w:lineRule="exact"/>
        <w:jc w:val="center"/>
        <w:textAlignment w:val="auto"/>
        <w:outlineLvl w:val="2"/>
        <w:rPr>
          <w:rFonts w:hint="eastAsia" w:ascii="黑体" w:hAnsi="黑体" w:eastAsia="黑体" w:cs="黑体"/>
          <w:b w:val="0"/>
          <w:bCs w:val="0"/>
          <w:color w:val="000000"/>
          <w:sz w:val="28"/>
          <w:szCs w:val="28"/>
        </w:rPr>
      </w:pPr>
      <w:r>
        <w:rPr>
          <w:rFonts w:hint="eastAsia" w:ascii="黑体" w:hAnsi="黑体" w:eastAsia="黑体" w:cs="黑体"/>
          <w:b w:val="0"/>
          <w:bCs w:val="0"/>
          <w:color w:val="000000"/>
          <w:sz w:val="28"/>
          <w:szCs w:val="28"/>
        </w:rPr>
        <w:t>讲师</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bookmarkStart w:id="8" w:name="_Toc19149"/>
      <w:r>
        <w:rPr>
          <w:rFonts w:hint="eastAsia" w:ascii="仿宋_GB2312" w:hAnsi="仿宋" w:eastAsia="仿宋_GB2312" w:cs="Times New Roman"/>
          <w:color w:val="000000"/>
          <w:sz w:val="28"/>
          <w:szCs w:val="28"/>
        </w:rPr>
        <w:t>具备下列条件：</w:t>
      </w:r>
      <w:bookmarkEnd w:id="8"/>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（一）获博士学位后到校工作3个月以上，或获硕士学位后任初级专业技术职务3年以上；或本科毕业后任初级专业技术职务4年以上。</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（二）讲授过1门课程，承担课程辅导、实验、指导、批改作业等工作，协助指导课程讨论、实习、毕业论文（设计）等教学环节的教学工作，完成学校规定的教学工作量。</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（三）任现职以来带领过学生参加社会实践或实习，担任过班主任或辅导员。</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（四）发表E类论文1篇；或发表F类论文2篇；或获得E类成果1项；或撰写著作或教材3万字。</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（五）获得国家承认的高校教师岗前培训合格证书。</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（六）熟练应用计算机辅助教学和科研工作。</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ascii="仿宋" w:hAnsi="仿宋" w:eastAsia="仿宋"/>
          <w:color w:val="000000"/>
          <w:sz w:val="28"/>
          <w:szCs w:val="28"/>
        </w:rPr>
      </w:pPr>
      <w:r>
        <w:rPr>
          <w:rFonts w:ascii="仿宋" w:hAnsi="仿宋" w:eastAsia="仿宋"/>
          <w:color w:val="000000"/>
          <w:sz w:val="28"/>
          <w:szCs w:val="28"/>
        </w:rPr>
        <w:t xml:space="preserve"> </w:t>
      </w:r>
    </w:p>
    <w:p>
      <w:pPr>
        <w:keepNext/>
        <w:keepLines/>
        <w:pageBreakBefore w:val="0"/>
        <w:widowControl w:val="0"/>
        <w:kinsoku/>
        <w:wordWrap/>
        <w:overflowPunct/>
        <w:topLinePunct w:val="0"/>
        <w:autoSpaceDE/>
        <w:autoSpaceDN/>
        <w:bidi w:val="0"/>
        <w:adjustRightInd/>
        <w:snapToGrid/>
        <w:spacing w:before="260" w:after="260" w:line="560" w:lineRule="exact"/>
        <w:jc w:val="center"/>
        <w:textAlignment w:val="auto"/>
        <w:outlineLvl w:val="2"/>
        <w:rPr>
          <w:rFonts w:hint="eastAsia" w:ascii="黑体" w:hAnsi="黑体" w:eastAsia="黑体" w:cs="黑体"/>
          <w:b w:val="0"/>
          <w:bCs w:val="0"/>
          <w:color w:val="000000"/>
          <w:sz w:val="28"/>
          <w:szCs w:val="28"/>
        </w:rPr>
      </w:pPr>
      <w:r>
        <w:rPr>
          <w:rFonts w:hint="eastAsia" w:ascii="黑体" w:hAnsi="黑体" w:eastAsia="黑体" w:cs="黑体"/>
          <w:b w:val="0"/>
          <w:bCs w:val="0"/>
          <w:color w:val="000000"/>
          <w:sz w:val="28"/>
          <w:szCs w:val="28"/>
        </w:rPr>
        <w:br w:type="page"/>
      </w:r>
      <w:r>
        <w:rPr>
          <w:rFonts w:hint="eastAsia" w:ascii="黑体" w:hAnsi="黑体" w:eastAsia="黑体" w:cs="黑体"/>
          <w:b w:val="0"/>
          <w:bCs w:val="0"/>
          <w:color w:val="000000"/>
          <w:sz w:val="28"/>
          <w:szCs w:val="28"/>
        </w:rPr>
        <w:t>附录：音乐舞蹈类成果分类办法</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成果分为A、B、C、D、E、F 六个等级，为鼓励高水平成果，学校按1项A类成果＝2项B类成果＝4项C类成果＝8项D类成果＝12项E类成果计算，上述计算办法不得逆向换算。</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具体分类如下：</w:t>
      </w:r>
    </w:p>
    <w:tbl>
      <w:tblPr>
        <w:tblStyle w:val="5"/>
        <w:tblW w:w="9364" w:type="dxa"/>
        <w:jc w:val="center"/>
        <w:tblLayout w:type="autofit"/>
        <w:tblCellMar>
          <w:top w:w="0" w:type="dxa"/>
          <w:left w:w="0" w:type="dxa"/>
          <w:bottom w:w="0" w:type="dxa"/>
          <w:right w:w="0" w:type="dxa"/>
        </w:tblCellMar>
      </w:tblPr>
      <w:tblGrid>
        <w:gridCol w:w="648"/>
        <w:gridCol w:w="2542"/>
        <w:gridCol w:w="2057"/>
        <w:gridCol w:w="1056"/>
        <w:gridCol w:w="1056"/>
        <w:gridCol w:w="1056"/>
        <w:gridCol w:w="949"/>
      </w:tblGrid>
      <w:tr>
        <w:tblPrEx>
          <w:tblCellMar>
            <w:top w:w="0" w:type="dxa"/>
            <w:left w:w="0" w:type="dxa"/>
            <w:bottom w:w="0" w:type="dxa"/>
            <w:right w:w="0" w:type="dxa"/>
          </w:tblCellMar>
        </w:tblPrEx>
        <w:trPr>
          <w:trHeight w:val="285" w:hRule="atLeast"/>
          <w:jc w:val="center"/>
        </w:trPr>
        <w:tc>
          <w:tcPr>
            <w:tcW w:w="648"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auto"/>
                <w:kern w:val="0"/>
                <w:sz w:val="28"/>
                <w:szCs w:val="28"/>
              </w:rPr>
            </w:pPr>
            <w:r>
              <w:rPr>
                <w:rFonts w:hint="eastAsia" w:ascii="仿宋" w:hAnsi="仿宋" w:eastAsia="仿宋"/>
                <w:color w:val="auto"/>
                <w:kern w:val="0"/>
                <w:sz w:val="28"/>
                <w:szCs w:val="28"/>
              </w:rPr>
              <w:br w:type="page"/>
            </w:r>
            <w:r>
              <w:rPr>
                <w:rFonts w:hint="eastAsia" w:ascii="仿宋" w:hAnsi="仿宋" w:eastAsia="仿宋"/>
                <w:color w:val="auto"/>
                <w:kern w:val="0"/>
                <w:sz w:val="28"/>
                <w:szCs w:val="28"/>
              </w:rPr>
              <w:t>级别</w:t>
            </w:r>
          </w:p>
        </w:tc>
        <w:tc>
          <w:tcPr>
            <w:tcW w:w="2657" w:type="dxa"/>
            <w:vMerge w:val="restart"/>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auto"/>
                <w:kern w:val="0"/>
                <w:sz w:val="28"/>
                <w:szCs w:val="28"/>
              </w:rPr>
            </w:pPr>
            <w:r>
              <w:rPr>
                <w:rFonts w:hint="eastAsia" w:ascii="仿宋" w:hAnsi="仿宋" w:eastAsia="仿宋"/>
                <w:color w:val="auto"/>
                <w:kern w:val="0"/>
                <w:sz w:val="28"/>
                <w:szCs w:val="28"/>
              </w:rPr>
              <w:t>名</w:t>
            </w:r>
            <w:r>
              <w:rPr>
                <w:rFonts w:hint="eastAsia" w:ascii="宋体" w:hAnsi="宋体" w:cs="宋体"/>
                <w:color w:val="auto"/>
                <w:kern w:val="0"/>
                <w:sz w:val="28"/>
                <w:szCs w:val="28"/>
              </w:rPr>
              <w:t> </w:t>
            </w:r>
            <w:r>
              <w:rPr>
                <w:rFonts w:hint="eastAsia" w:ascii="仿宋" w:hAnsi="仿宋" w:eastAsia="仿宋"/>
                <w:color w:val="auto"/>
                <w:kern w:val="0"/>
                <w:sz w:val="28"/>
                <w:szCs w:val="28"/>
              </w:rPr>
              <w:t xml:space="preserve"> 称</w:t>
            </w:r>
          </w:p>
        </w:tc>
        <w:tc>
          <w:tcPr>
            <w:tcW w:w="2173" w:type="dxa"/>
            <w:vMerge w:val="restart"/>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auto"/>
                <w:kern w:val="0"/>
                <w:sz w:val="28"/>
                <w:szCs w:val="28"/>
              </w:rPr>
            </w:pPr>
            <w:r>
              <w:rPr>
                <w:rFonts w:hint="eastAsia" w:ascii="仿宋" w:hAnsi="仿宋" w:eastAsia="仿宋"/>
                <w:color w:val="auto"/>
                <w:kern w:val="0"/>
                <w:sz w:val="28"/>
                <w:szCs w:val="28"/>
              </w:rPr>
              <w:t>主办单位</w:t>
            </w:r>
          </w:p>
        </w:tc>
        <w:tc>
          <w:tcPr>
            <w:tcW w:w="3886" w:type="dxa"/>
            <w:gridSpan w:val="4"/>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auto"/>
                <w:kern w:val="0"/>
                <w:sz w:val="28"/>
                <w:szCs w:val="28"/>
              </w:rPr>
            </w:pPr>
            <w:r>
              <w:rPr>
                <w:rFonts w:hint="eastAsia" w:ascii="仿宋" w:hAnsi="仿宋" w:eastAsia="仿宋"/>
                <w:color w:val="auto"/>
                <w:kern w:val="0"/>
                <w:sz w:val="28"/>
                <w:szCs w:val="28"/>
              </w:rPr>
              <w:t>获奖等级及成果类别</w:t>
            </w:r>
          </w:p>
        </w:tc>
      </w:tr>
      <w:tr>
        <w:tblPrEx>
          <w:tblCellMar>
            <w:top w:w="0" w:type="dxa"/>
            <w:left w:w="0" w:type="dxa"/>
            <w:bottom w:w="0" w:type="dxa"/>
            <w:right w:w="0" w:type="dxa"/>
          </w:tblCellMar>
        </w:tblPrEx>
        <w:trPr>
          <w:trHeight w:val="1014" w:hRule="atLeast"/>
          <w:jc w:val="center"/>
        </w:trPr>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overflowPunct/>
              <w:bidi w:val="0"/>
              <w:spacing w:line="600" w:lineRule="exact"/>
              <w:jc w:val="left"/>
              <w:rPr>
                <w:rFonts w:ascii="仿宋" w:hAnsi="仿宋" w:eastAsia="仿宋"/>
                <w:color w:val="auto"/>
                <w:kern w:val="0"/>
                <w:sz w:val="28"/>
                <w:szCs w:val="28"/>
              </w:rPr>
            </w:pPr>
          </w:p>
        </w:tc>
        <w:tc>
          <w:tcPr>
            <w:tcW w:w="0" w:type="auto"/>
            <w:vMerge w:val="continue"/>
            <w:tcBorders>
              <w:top w:val="single" w:color="auto" w:sz="4" w:space="0"/>
              <w:left w:val="nil"/>
              <w:bottom w:val="single" w:color="auto" w:sz="4" w:space="0"/>
              <w:right w:val="single" w:color="auto" w:sz="4" w:space="0"/>
            </w:tcBorders>
            <w:noWrap w:val="0"/>
            <w:vAlign w:val="center"/>
          </w:tcPr>
          <w:p>
            <w:pPr>
              <w:pageBreakBefore w:val="0"/>
              <w:widowControl/>
              <w:kinsoku/>
              <w:overflowPunct/>
              <w:bidi w:val="0"/>
              <w:spacing w:line="600" w:lineRule="exact"/>
              <w:jc w:val="left"/>
              <w:rPr>
                <w:rFonts w:ascii="仿宋" w:hAnsi="仿宋" w:eastAsia="仿宋"/>
                <w:color w:val="auto"/>
                <w:kern w:val="0"/>
                <w:sz w:val="28"/>
                <w:szCs w:val="28"/>
              </w:rPr>
            </w:pPr>
          </w:p>
        </w:tc>
        <w:tc>
          <w:tcPr>
            <w:tcW w:w="0" w:type="auto"/>
            <w:vMerge w:val="continue"/>
            <w:tcBorders>
              <w:top w:val="single" w:color="auto" w:sz="4" w:space="0"/>
              <w:left w:val="nil"/>
              <w:bottom w:val="single" w:color="auto" w:sz="4" w:space="0"/>
              <w:right w:val="single" w:color="auto" w:sz="4" w:space="0"/>
            </w:tcBorders>
            <w:noWrap w:val="0"/>
            <w:vAlign w:val="center"/>
          </w:tcPr>
          <w:p>
            <w:pPr>
              <w:pageBreakBefore w:val="0"/>
              <w:widowControl/>
              <w:kinsoku/>
              <w:overflowPunct/>
              <w:bidi w:val="0"/>
              <w:spacing w:line="600" w:lineRule="exact"/>
              <w:jc w:val="left"/>
              <w:rPr>
                <w:rFonts w:ascii="仿宋" w:hAnsi="仿宋" w:eastAsia="仿宋"/>
                <w:color w:val="auto"/>
                <w:kern w:val="0"/>
                <w:sz w:val="28"/>
                <w:szCs w:val="28"/>
              </w:rPr>
            </w:pPr>
          </w:p>
        </w:tc>
        <w:tc>
          <w:tcPr>
            <w:tcW w:w="980"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ascii="仿宋" w:hAnsi="仿宋" w:eastAsia="仿宋"/>
                <w:color w:val="auto"/>
                <w:kern w:val="0"/>
                <w:sz w:val="28"/>
                <w:szCs w:val="28"/>
              </w:rPr>
            </w:pPr>
            <w:r>
              <w:rPr>
                <w:rFonts w:hint="eastAsia" w:ascii="仿宋" w:hAnsi="仿宋" w:eastAsia="仿宋"/>
                <w:color w:val="auto"/>
                <w:kern w:val="0"/>
                <w:sz w:val="28"/>
                <w:szCs w:val="28"/>
              </w:rPr>
              <w:t>一等奖（金）</w:t>
            </w:r>
          </w:p>
        </w:tc>
        <w:tc>
          <w:tcPr>
            <w:tcW w:w="950"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ascii="仿宋" w:hAnsi="仿宋" w:eastAsia="仿宋"/>
                <w:color w:val="auto"/>
                <w:kern w:val="0"/>
                <w:sz w:val="28"/>
                <w:szCs w:val="28"/>
              </w:rPr>
            </w:pPr>
            <w:r>
              <w:rPr>
                <w:rFonts w:hint="eastAsia" w:ascii="仿宋" w:hAnsi="仿宋" w:eastAsia="仿宋"/>
                <w:color w:val="auto"/>
                <w:kern w:val="0"/>
                <w:sz w:val="28"/>
                <w:szCs w:val="28"/>
              </w:rPr>
              <w:t>二等奖（银）</w:t>
            </w:r>
          </w:p>
        </w:tc>
        <w:tc>
          <w:tcPr>
            <w:tcW w:w="992"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ascii="仿宋" w:hAnsi="仿宋" w:eastAsia="仿宋"/>
                <w:color w:val="auto"/>
                <w:kern w:val="0"/>
                <w:sz w:val="28"/>
                <w:szCs w:val="28"/>
              </w:rPr>
            </w:pPr>
            <w:r>
              <w:rPr>
                <w:rFonts w:hint="eastAsia" w:ascii="仿宋" w:hAnsi="仿宋" w:eastAsia="仿宋"/>
                <w:color w:val="auto"/>
                <w:kern w:val="0"/>
                <w:sz w:val="28"/>
                <w:szCs w:val="28"/>
              </w:rPr>
              <w:t>三等奖（铜）</w:t>
            </w:r>
          </w:p>
        </w:tc>
        <w:tc>
          <w:tcPr>
            <w:tcW w:w="964"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ascii="仿宋" w:hAnsi="仿宋" w:eastAsia="仿宋"/>
                <w:color w:val="auto"/>
                <w:kern w:val="0"/>
                <w:sz w:val="28"/>
                <w:szCs w:val="28"/>
              </w:rPr>
            </w:pPr>
            <w:r>
              <w:rPr>
                <w:rFonts w:hint="eastAsia" w:ascii="仿宋" w:hAnsi="仿宋" w:eastAsia="仿宋"/>
                <w:color w:val="auto"/>
                <w:kern w:val="0"/>
                <w:sz w:val="28"/>
                <w:szCs w:val="28"/>
              </w:rPr>
              <w:t>优秀奖（提名奖）</w:t>
            </w:r>
          </w:p>
        </w:tc>
      </w:tr>
      <w:tr>
        <w:tblPrEx>
          <w:tblCellMar>
            <w:top w:w="0" w:type="dxa"/>
            <w:left w:w="0" w:type="dxa"/>
            <w:bottom w:w="0" w:type="dxa"/>
            <w:right w:w="0" w:type="dxa"/>
          </w:tblCellMar>
        </w:tblPrEx>
        <w:trPr>
          <w:trHeight w:val="834" w:hRule="atLeast"/>
          <w:jc w:val="center"/>
        </w:trPr>
        <w:tc>
          <w:tcPr>
            <w:tcW w:w="648" w:type="dxa"/>
            <w:vMerge w:val="restart"/>
            <w:tcBorders>
              <w:top w:val="nil"/>
              <w:left w:val="single" w:color="auto" w:sz="4" w:space="0"/>
              <w:bottom w:val="single" w:color="auto" w:sz="4" w:space="0"/>
              <w:right w:val="single" w:color="auto" w:sz="4" w:space="0"/>
            </w:tcBorders>
            <w:noWrap/>
            <w:tcMar>
              <w:top w:w="0" w:type="dxa"/>
              <w:left w:w="108" w:type="dxa"/>
              <w:bottom w:w="0" w:type="dxa"/>
              <w:right w:w="108" w:type="dxa"/>
            </w:tcMar>
            <w:vAlign w:val="center"/>
          </w:tcPr>
          <w:p>
            <w:pPr>
              <w:pageBreakBefore w:val="0"/>
              <w:widowControl/>
              <w:kinsoku/>
              <w:overflowPunct/>
              <w:bidi w:val="0"/>
              <w:spacing w:line="600" w:lineRule="exact"/>
              <w:rPr>
                <w:rFonts w:ascii="仿宋" w:hAnsi="仿宋" w:eastAsia="仿宋"/>
                <w:color w:val="000000"/>
                <w:kern w:val="0"/>
                <w:sz w:val="24"/>
                <w:szCs w:val="24"/>
              </w:rPr>
            </w:pPr>
            <w:r>
              <w:rPr>
                <w:rFonts w:hint="eastAsia" w:ascii="仿宋" w:hAnsi="仿宋" w:eastAsia="仿宋" w:cs="宋体"/>
                <w:color w:val="000000"/>
                <w:kern w:val="0"/>
                <w:sz w:val="24"/>
                <w:szCs w:val="24"/>
              </w:rPr>
              <w:t>国家级</w:t>
            </w:r>
          </w:p>
        </w:tc>
        <w:tc>
          <w:tcPr>
            <w:tcW w:w="2657"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 xml:space="preserve">1. </w:t>
            </w:r>
            <w:r>
              <w:rPr>
                <w:rFonts w:hint="eastAsia" w:ascii="仿宋" w:hAnsi="仿宋" w:eastAsia="仿宋" w:cs="宋体"/>
                <w:color w:val="000000"/>
                <w:kern w:val="0"/>
                <w:sz w:val="24"/>
                <w:szCs w:val="24"/>
              </w:rPr>
              <w:t>国家社科基金项目优秀奖</w:t>
            </w:r>
          </w:p>
        </w:tc>
        <w:tc>
          <w:tcPr>
            <w:tcW w:w="2173"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全国社科规划办</w:t>
            </w:r>
          </w:p>
        </w:tc>
        <w:tc>
          <w:tcPr>
            <w:tcW w:w="3886" w:type="dxa"/>
            <w:gridSpan w:val="4"/>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A(</w:t>
            </w:r>
            <w:r>
              <w:rPr>
                <w:rFonts w:hint="eastAsia" w:ascii="仿宋" w:hAnsi="仿宋" w:eastAsia="仿宋" w:cs="宋体"/>
                <w:color w:val="000000"/>
                <w:kern w:val="0"/>
                <w:sz w:val="24"/>
                <w:szCs w:val="24"/>
              </w:rPr>
              <w:t>只有一个等级）</w:t>
            </w:r>
          </w:p>
        </w:tc>
      </w:tr>
      <w:tr>
        <w:tblPrEx>
          <w:tblCellMar>
            <w:top w:w="0" w:type="dxa"/>
            <w:left w:w="0" w:type="dxa"/>
            <w:bottom w:w="0" w:type="dxa"/>
            <w:right w:w="0" w:type="dxa"/>
          </w:tblCellMar>
        </w:tblPrEx>
        <w:trPr>
          <w:trHeight w:val="1017" w:hRule="atLeast"/>
          <w:jc w:val="center"/>
        </w:trPr>
        <w:tc>
          <w:tcPr>
            <w:tcW w:w="0" w:type="auto"/>
            <w:vMerge w:val="continue"/>
            <w:tcBorders>
              <w:top w:val="nil"/>
              <w:left w:val="single" w:color="auto" w:sz="4" w:space="0"/>
              <w:bottom w:val="single" w:color="auto" w:sz="4" w:space="0"/>
              <w:right w:val="single" w:color="auto" w:sz="4" w:space="0"/>
            </w:tcBorders>
            <w:noWrap w:val="0"/>
            <w:vAlign w:val="center"/>
          </w:tcPr>
          <w:p>
            <w:pPr>
              <w:pageBreakBefore w:val="0"/>
              <w:widowControl/>
              <w:kinsoku/>
              <w:overflowPunct/>
              <w:bidi w:val="0"/>
              <w:spacing w:line="600" w:lineRule="exact"/>
              <w:jc w:val="left"/>
              <w:rPr>
                <w:rFonts w:ascii="仿宋" w:hAnsi="仿宋" w:eastAsia="仿宋"/>
                <w:color w:val="000000"/>
                <w:kern w:val="0"/>
                <w:sz w:val="24"/>
                <w:szCs w:val="24"/>
              </w:rPr>
            </w:pPr>
          </w:p>
        </w:tc>
        <w:tc>
          <w:tcPr>
            <w:tcW w:w="2657"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 xml:space="preserve">2. </w:t>
            </w:r>
            <w:r>
              <w:rPr>
                <w:rFonts w:hint="eastAsia" w:ascii="仿宋" w:hAnsi="仿宋" w:eastAsia="仿宋" w:cs="宋体"/>
                <w:color w:val="000000"/>
                <w:kern w:val="0"/>
                <w:sz w:val="24"/>
                <w:szCs w:val="24"/>
              </w:rPr>
              <w:t>全国高校科学研究优秀成果奖（人文社会科学）</w:t>
            </w:r>
          </w:p>
        </w:tc>
        <w:tc>
          <w:tcPr>
            <w:tcW w:w="2173"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教育部</w:t>
            </w:r>
          </w:p>
        </w:tc>
        <w:tc>
          <w:tcPr>
            <w:tcW w:w="3886" w:type="dxa"/>
            <w:gridSpan w:val="4"/>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A(</w:t>
            </w:r>
            <w:r>
              <w:rPr>
                <w:rFonts w:hint="eastAsia" w:ascii="仿宋" w:hAnsi="仿宋" w:eastAsia="仿宋" w:cs="宋体"/>
                <w:color w:val="000000"/>
                <w:kern w:val="0"/>
                <w:sz w:val="24"/>
                <w:szCs w:val="24"/>
              </w:rPr>
              <w:t>只有一个等级）</w:t>
            </w:r>
          </w:p>
        </w:tc>
      </w:tr>
      <w:tr>
        <w:tblPrEx>
          <w:tblCellMar>
            <w:top w:w="0" w:type="dxa"/>
            <w:left w:w="0" w:type="dxa"/>
            <w:bottom w:w="0" w:type="dxa"/>
            <w:right w:w="0" w:type="dxa"/>
          </w:tblCellMar>
        </w:tblPrEx>
        <w:trPr>
          <w:trHeight w:val="435" w:hRule="atLeast"/>
          <w:jc w:val="center"/>
        </w:trPr>
        <w:tc>
          <w:tcPr>
            <w:tcW w:w="0" w:type="auto"/>
            <w:vMerge w:val="continue"/>
            <w:tcBorders>
              <w:top w:val="nil"/>
              <w:left w:val="single" w:color="auto" w:sz="4" w:space="0"/>
              <w:bottom w:val="single" w:color="auto" w:sz="4" w:space="0"/>
              <w:right w:val="single" w:color="auto" w:sz="4" w:space="0"/>
            </w:tcBorders>
            <w:noWrap w:val="0"/>
            <w:vAlign w:val="center"/>
          </w:tcPr>
          <w:p>
            <w:pPr>
              <w:pageBreakBefore w:val="0"/>
              <w:widowControl/>
              <w:kinsoku/>
              <w:overflowPunct/>
              <w:bidi w:val="0"/>
              <w:spacing w:line="600" w:lineRule="exact"/>
              <w:jc w:val="left"/>
              <w:rPr>
                <w:rFonts w:ascii="仿宋" w:hAnsi="仿宋" w:eastAsia="仿宋"/>
                <w:color w:val="000000"/>
                <w:kern w:val="0"/>
                <w:sz w:val="24"/>
                <w:szCs w:val="24"/>
              </w:rPr>
            </w:pPr>
          </w:p>
        </w:tc>
        <w:tc>
          <w:tcPr>
            <w:tcW w:w="2657"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 xml:space="preserve">3. </w:t>
            </w:r>
            <w:r>
              <w:rPr>
                <w:rFonts w:hint="eastAsia" w:ascii="仿宋" w:hAnsi="仿宋" w:eastAsia="仿宋" w:cs="宋体"/>
                <w:color w:val="000000"/>
                <w:kern w:val="0"/>
                <w:sz w:val="24"/>
                <w:szCs w:val="24"/>
              </w:rPr>
              <w:t>全国</w:t>
            </w:r>
            <w:r>
              <w:rPr>
                <w:rFonts w:ascii="仿宋" w:hAnsi="仿宋" w:eastAsia="仿宋"/>
                <w:color w:val="000000"/>
                <w:kern w:val="0"/>
                <w:sz w:val="24"/>
                <w:szCs w:val="24"/>
              </w:rPr>
              <w:t>“</w:t>
            </w:r>
            <w:r>
              <w:rPr>
                <w:rFonts w:hint="eastAsia" w:ascii="仿宋" w:hAnsi="仿宋" w:eastAsia="仿宋" w:cs="宋体"/>
                <w:color w:val="000000"/>
                <w:kern w:val="0"/>
                <w:sz w:val="24"/>
                <w:szCs w:val="24"/>
              </w:rPr>
              <w:t>五个一</w:t>
            </w:r>
            <w:r>
              <w:rPr>
                <w:rFonts w:ascii="仿宋" w:hAnsi="仿宋" w:eastAsia="仿宋"/>
                <w:color w:val="000000"/>
                <w:kern w:val="0"/>
                <w:sz w:val="24"/>
                <w:szCs w:val="24"/>
              </w:rPr>
              <w:t>”</w:t>
            </w:r>
            <w:r>
              <w:rPr>
                <w:rFonts w:hint="eastAsia" w:ascii="仿宋" w:hAnsi="仿宋" w:eastAsia="仿宋" w:cs="宋体"/>
                <w:color w:val="000000"/>
                <w:kern w:val="0"/>
                <w:sz w:val="24"/>
                <w:szCs w:val="24"/>
              </w:rPr>
              <w:t>工程优秀成果奖</w:t>
            </w:r>
          </w:p>
        </w:tc>
        <w:tc>
          <w:tcPr>
            <w:tcW w:w="2173"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中共中央宣传部</w:t>
            </w:r>
          </w:p>
        </w:tc>
        <w:tc>
          <w:tcPr>
            <w:tcW w:w="3886" w:type="dxa"/>
            <w:gridSpan w:val="4"/>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A(</w:t>
            </w:r>
            <w:r>
              <w:rPr>
                <w:rFonts w:hint="eastAsia" w:ascii="仿宋" w:hAnsi="仿宋" w:eastAsia="仿宋" w:cs="宋体"/>
                <w:color w:val="000000"/>
                <w:kern w:val="0"/>
                <w:sz w:val="24"/>
                <w:szCs w:val="24"/>
              </w:rPr>
              <w:t>只有一个等级）</w:t>
            </w:r>
          </w:p>
        </w:tc>
      </w:tr>
      <w:tr>
        <w:tblPrEx>
          <w:tblCellMar>
            <w:top w:w="0" w:type="dxa"/>
            <w:left w:w="0" w:type="dxa"/>
            <w:bottom w:w="0" w:type="dxa"/>
            <w:right w:w="0" w:type="dxa"/>
          </w:tblCellMar>
        </w:tblPrEx>
        <w:trPr>
          <w:trHeight w:val="1041" w:hRule="atLeast"/>
          <w:jc w:val="center"/>
        </w:trPr>
        <w:tc>
          <w:tcPr>
            <w:tcW w:w="648" w:type="dxa"/>
            <w:vMerge w:val="restart"/>
            <w:tcBorders>
              <w:top w:val="nil"/>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hint="eastAsia" w:ascii="仿宋" w:hAnsi="仿宋" w:eastAsia="仿宋" w:cs="宋体"/>
                <w:color w:val="000000"/>
                <w:kern w:val="0"/>
                <w:sz w:val="24"/>
                <w:szCs w:val="24"/>
              </w:rPr>
              <w:t>国家</w:t>
            </w:r>
          </w:p>
          <w:p>
            <w:pPr>
              <w:pageBreakBefore w:val="0"/>
              <w:widowControl/>
              <w:kinsoku/>
              <w:overflowPunct/>
              <w:bidi w:val="0"/>
              <w:spacing w:line="600" w:lineRule="exact"/>
              <w:jc w:val="center"/>
              <w:rPr>
                <w:rFonts w:ascii="仿宋" w:hAnsi="仿宋" w:eastAsia="仿宋"/>
                <w:color w:val="000000"/>
                <w:kern w:val="0"/>
                <w:sz w:val="24"/>
                <w:szCs w:val="24"/>
              </w:rPr>
            </w:pPr>
            <w:r>
              <w:rPr>
                <w:rFonts w:hint="eastAsia" w:ascii="仿宋" w:hAnsi="仿宋" w:eastAsia="仿宋" w:cs="宋体"/>
                <w:color w:val="000000"/>
                <w:kern w:val="0"/>
                <w:sz w:val="24"/>
                <w:szCs w:val="24"/>
              </w:rPr>
              <w:t>级</w:t>
            </w:r>
          </w:p>
        </w:tc>
        <w:tc>
          <w:tcPr>
            <w:tcW w:w="2657"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 xml:space="preserve">4. </w:t>
            </w:r>
            <w:r>
              <w:rPr>
                <w:rFonts w:hint="eastAsia" w:ascii="仿宋" w:hAnsi="仿宋" w:eastAsia="仿宋" w:cs="宋体"/>
                <w:color w:val="000000"/>
                <w:kern w:val="0"/>
                <w:sz w:val="24"/>
                <w:szCs w:val="24"/>
              </w:rPr>
              <w:t>全国文化艺术科学优秀成果奖（含评论、专著等）</w:t>
            </w:r>
          </w:p>
        </w:tc>
        <w:tc>
          <w:tcPr>
            <w:tcW w:w="2173"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文化部，中国文联</w:t>
            </w:r>
          </w:p>
        </w:tc>
        <w:tc>
          <w:tcPr>
            <w:tcW w:w="980"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A</w:t>
            </w:r>
          </w:p>
        </w:tc>
        <w:tc>
          <w:tcPr>
            <w:tcW w:w="950"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A</w:t>
            </w:r>
          </w:p>
        </w:tc>
        <w:tc>
          <w:tcPr>
            <w:tcW w:w="992"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B</w:t>
            </w:r>
          </w:p>
        </w:tc>
        <w:tc>
          <w:tcPr>
            <w:tcW w:w="964"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p>
        </w:tc>
      </w:tr>
      <w:tr>
        <w:tblPrEx>
          <w:tblCellMar>
            <w:top w:w="0" w:type="dxa"/>
            <w:left w:w="0" w:type="dxa"/>
            <w:bottom w:w="0" w:type="dxa"/>
            <w:right w:w="0" w:type="dxa"/>
          </w:tblCellMar>
        </w:tblPrEx>
        <w:trPr>
          <w:trHeight w:val="831" w:hRule="atLeast"/>
          <w:jc w:val="center"/>
        </w:trPr>
        <w:tc>
          <w:tcPr>
            <w:tcW w:w="0" w:type="auto"/>
            <w:vMerge w:val="continue"/>
            <w:tcBorders>
              <w:top w:val="nil"/>
              <w:left w:val="single" w:color="auto" w:sz="4" w:space="0"/>
              <w:bottom w:val="single" w:color="auto" w:sz="4" w:space="0"/>
              <w:right w:val="single" w:color="auto" w:sz="4" w:space="0"/>
            </w:tcBorders>
            <w:noWrap w:val="0"/>
            <w:vAlign w:val="center"/>
          </w:tcPr>
          <w:p>
            <w:pPr>
              <w:pageBreakBefore w:val="0"/>
              <w:widowControl/>
              <w:kinsoku/>
              <w:overflowPunct/>
              <w:bidi w:val="0"/>
              <w:spacing w:line="600" w:lineRule="exact"/>
              <w:jc w:val="left"/>
              <w:rPr>
                <w:rFonts w:ascii="仿宋" w:hAnsi="仿宋" w:eastAsia="仿宋"/>
                <w:color w:val="000000"/>
                <w:kern w:val="0"/>
                <w:sz w:val="24"/>
                <w:szCs w:val="24"/>
              </w:rPr>
            </w:pPr>
          </w:p>
        </w:tc>
        <w:tc>
          <w:tcPr>
            <w:tcW w:w="2657"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5</w:t>
            </w:r>
            <w:r>
              <w:rPr>
                <w:rFonts w:hint="eastAsia" w:ascii="仿宋" w:hAnsi="仿宋" w:eastAsia="仿宋" w:cs="宋体"/>
                <w:color w:val="000000"/>
                <w:kern w:val="0"/>
                <w:sz w:val="24"/>
                <w:szCs w:val="24"/>
              </w:rPr>
              <w:t>、金钟奖、文华奖、梅花奖、荷花奖、桃李杯、山花奖、金鸡奖、百花奖、国家舞台精品工程及文化部组织的全国性比赛（如群星奖）、</w:t>
            </w:r>
            <w:r>
              <w:rPr>
                <w:rFonts w:ascii="仿宋" w:hAnsi="仿宋" w:eastAsia="仿宋"/>
                <w:color w:val="000000"/>
                <w:kern w:val="0"/>
                <w:sz w:val="24"/>
                <w:szCs w:val="24"/>
              </w:rPr>
              <w:t>CCTV</w:t>
            </w:r>
            <w:r>
              <w:rPr>
                <w:rFonts w:hint="eastAsia" w:ascii="仿宋" w:hAnsi="仿宋" w:eastAsia="仿宋" w:cs="宋体"/>
                <w:color w:val="000000"/>
                <w:kern w:val="0"/>
                <w:sz w:val="24"/>
                <w:szCs w:val="24"/>
              </w:rPr>
              <w:t>大奖赛、中央人民广播电台举办的全国性比赛</w:t>
            </w:r>
          </w:p>
        </w:tc>
        <w:tc>
          <w:tcPr>
            <w:tcW w:w="2173"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文化部、文联、中国音协、中国舞协、民间文艺家协会、电影家协会、戏剧家协会、中央电视台、中央人民广播电台</w:t>
            </w:r>
          </w:p>
        </w:tc>
        <w:tc>
          <w:tcPr>
            <w:tcW w:w="980"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A</w:t>
            </w:r>
          </w:p>
        </w:tc>
        <w:tc>
          <w:tcPr>
            <w:tcW w:w="950"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A</w:t>
            </w:r>
          </w:p>
        </w:tc>
        <w:tc>
          <w:tcPr>
            <w:tcW w:w="992"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B</w:t>
            </w:r>
          </w:p>
        </w:tc>
        <w:tc>
          <w:tcPr>
            <w:tcW w:w="964"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p>
        </w:tc>
      </w:tr>
      <w:tr>
        <w:tblPrEx>
          <w:tblCellMar>
            <w:top w:w="0" w:type="dxa"/>
            <w:left w:w="0" w:type="dxa"/>
            <w:bottom w:w="0" w:type="dxa"/>
            <w:right w:w="0" w:type="dxa"/>
          </w:tblCellMar>
        </w:tblPrEx>
        <w:trPr>
          <w:trHeight w:val="591" w:hRule="atLeast"/>
          <w:jc w:val="center"/>
        </w:trPr>
        <w:tc>
          <w:tcPr>
            <w:tcW w:w="648" w:type="dxa"/>
            <w:vMerge w:val="restart"/>
            <w:tcBorders>
              <w:top w:val="nil"/>
              <w:left w:val="single" w:color="auto" w:sz="4" w:space="0"/>
              <w:bottom w:val="single" w:color="auto" w:sz="4" w:space="0"/>
              <w:right w:val="single" w:color="auto" w:sz="4" w:space="0"/>
            </w:tcBorders>
            <w:noWrap/>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hint="eastAsia" w:ascii="仿宋" w:hAnsi="仿宋" w:eastAsia="仿宋" w:cs="宋体"/>
                <w:color w:val="000000"/>
                <w:kern w:val="0"/>
                <w:sz w:val="24"/>
                <w:szCs w:val="24"/>
              </w:rPr>
              <w:t>省部级</w:t>
            </w:r>
          </w:p>
          <w:p>
            <w:pPr>
              <w:pageBreakBefore w:val="0"/>
              <w:widowControl/>
              <w:kinsoku/>
              <w:overflowPunct/>
              <w:bidi w:val="0"/>
              <w:spacing w:line="600" w:lineRule="exact"/>
              <w:jc w:val="center"/>
              <w:rPr>
                <w:rFonts w:hint="eastAsia" w:ascii="仿宋" w:hAnsi="仿宋" w:eastAsia="仿宋" w:cs="宋体"/>
                <w:color w:val="000000"/>
                <w:kern w:val="0"/>
                <w:sz w:val="24"/>
                <w:szCs w:val="24"/>
              </w:rPr>
            </w:pPr>
          </w:p>
          <w:p>
            <w:pPr>
              <w:pageBreakBefore w:val="0"/>
              <w:widowControl/>
              <w:kinsoku/>
              <w:overflowPunct/>
              <w:bidi w:val="0"/>
              <w:spacing w:line="600" w:lineRule="exact"/>
              <w:jc w:val="center"/>
              <w:rPr>
                <w:rFonts w:hint="eastAsia" w:ascii="仿宋" w:hAnsi="仿宋" w:eastAsia="仿宋" w:cs="宋体"/>
                <w:color w:val="000000"/>
                <w:kern w:val="0"/>
                <w:sz w:val="24"/>
                <w:szCs w:val="24"/>
              </w:rPr>
            </w:pPr>
          </w:p>
          <w:p>
            <w:pPr>
              <w:pageBreakBefore w:val="0"/>
              <w:widowControl/>
              <w:kinsoku/>
              <w:overflowPunct/>
              <w:bidi w:val="0"/>
              <w:spacing w:line="600" w:lineRule="exact"/>
              <w:ind w:right="-78" w:rightChars="-37"/>
              <w:jc w:val="center"/>
              <w:rPr>
                <w:rFonts w:ascii="仿宋" w:hAnsi="仿宋" w:eastAsia="仿宋"/>
                <w:color w:val="000000"/>
                <w:kern w:val="0"/>
                <w:sz w:val="24"/>
                <w:szCs w:val="24"/>
              </w:rPr>
            </w:pPr>
          </w:p>
          <w:p>
            <w:pPr>
              <w:pageBreakBefore w:val="0"/>
              <w:widowControl/>
              <w:kinsoku/>
              <w:overflowPunct/>
              <w:bidi w:val="0"/>
              <w:spacing w:line="600" w:lineRule="exact"/>
              <w:ind w:right="-78" w:rightChars="-37"/>
              <w:jc w:val="center"/>
              <w:rPr>
                <w:rFonts w:ascii="仿宋" w:hAnsi="仿宋" w:eastAsia="仿宋"/>
                <w:color w:val="000000"/>
                <w:kern w:val="0"/>
                <w:sz w:val="24"/>
                <w:szCs w:val="24"/>
              </w:rPr>
            </w:pPr>
          </w:p>
          <w:p>
            <w:pPr>
              <w:pageBreakBefore w:val="0"/>
              <w:widowControl/>
              <w:kinsoku/>
              <w:overflowPunct/>
              <w:bidi w:val="0"/>
              <w:spacing w:line="600" w:lineRule="exact"/>
              <w:ind w:right="-78" w:rightChars="-37"/>
              <w:jc w:val="center"/>
              <w:rPr>
                <w:rFonts w:ascii="仿宋" w:hAnsi="仿宋" w:eastAsia="仿宋"/>
                <w:color w:val="000000"/>
                <w:kern w:val="0"/>
                <w:sz w:val="24"/>
                <w:szCs w:val="24"/>
              </w:rPr>
            </w:pPr>
          </w:p>
        </w:tc>
        <w:tc>
          <w:tcPr>
            <w:tcW w:w="2657"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 xml:space="preserve">1. </w:t>
            </w:r>
            <w:r>
              <w:rPr>
                <w:rFonts w:hint="eastAsia" w:ascii="仿宋" w:hAnsi="仿宋" w:eastAsia="仿宋" w:cs="宋体"/>
                <w:color w:val="000000"/>
                <w:kern w:val="0"/>
                <w:sz w:val="24"/>
                <w:szCs w:val="24"/>
              </w:rPr>
              <w:t>广东省、广州市哲学社会科学优秀成果奖</w:t>
            </w:r>
          </w:p>
        </w:tc>
        <w:tc>
          <w:tcPr>
            <w:tcW w:w="2173"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广东省政府、广州市政府社会科学规划办</w:t>
            </w:r>
          </w:p>
        </w:tc>
        <w:tc>
          <w:tcPr>
            <w:tcW w:w="980"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p>
        </w:tc>
        <w:tc>
          <w:tcPr>
            <w:tcW w:w="950"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p>
        </w:tc>
        <w:tc>
          <w:tcPr>
            <w:tcW w:w="992"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D</w:t>
            </w:r>
          </w:p>
        </w:tc>
        <w:tc>
          <w:tcPr>
            <w:tcW w:w="964"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E</w:t>
            </w:r>
          </w:p>
        </w:tc>
      </w:tr>
      <w:tr>
        <w:tblPrEx>
          <w:tblCellMar>
            <w:top w:w="0" w:type="dxa"/>
            <w:left w:w="0" w:type="dxa"/>
            <w:bottom w:w="0" w:type="dxa"/>
            <w:right w:w="0" w:type="dxa"/>
          </w:tblCellMar>
        </w:tblPrEx>
        <w:trPr>
          <w:trHeight w:val="435" w:hRule="atLeast"/>
          <w:jc w:val="center"/>
        </w:trPr>
        <w:tc>
          <w:tcPr>
            <w:tcW w:w="0" w:type="auto"/>
            <w:vMerge w:val="continue"/>
            <w:tcBorders>
              <w:top w:val="nil"/>
              <w:left w:val="single" w:color="auto" w:sz="4" w:space="0"/>
              <w:bottom w:val="single" w:color="auto" w:sz="4" w:space="0"/>
              <w:right w:val="single" w:color="auto" w:sz="4" w:space="0"/>
            </w:tcBorders>
            <w:noWrap w:val="0"/>
            <w:vAlign w:val="center"/>
          </w:tcPr>
          <w:p>
            <w:pPr>
              <w:pageBreakBefore w:val="0"/>
              <w:widowControl/>
              <w:kinsoku/>
              <w:overflowPunct/>
              <w:bidi w:val="0"/>
              <w:spacing w:line="600" w:lineRule="exact"/>
              <w:jc w:val="left"/>
              <w:rPr>
                <w:rFonts w:ascii="仿宋" w:hAnsi="仿宋" w:eastAsia="仿宋"/>
                <w:color w:val="000000"/>
                <w:kern w:val="0"/>
                <w:sz w:val="24"/>
                <w:szCs w:val="24"/>
              </w:rPr>
            </w:pPr>
          </w:p>
        </w:tc>
        <w:tc>
          <w:tcPr>
            <w:tcW w:w="2657"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 xml:space="preserve">2. </w:t>
            </w:r>
            <w:r>
              <w:rPr>
                <w:rFonts w:hint="eastAsia" w:ascii="仿宋" w:hAnsi="仿宋" w:eastAsia="仿宋" w:cs="宋体"/>
                <w:color w:val="000000"/>
                <w:kern w:val="0"/>
                <w:sz w:val="24"/>
                <w:szCs w:val="24"/>
              </w:rPr>
              <w:t>广东省</w:t>
            </w:r>
            <w:r>
              <w:rPr>
                <w:rFonts w:ascii="仿宋" w:hAnsi="仿宋" w:eastAsia="仿宋"/>
                <w:color w:val="000000"/>
                <w:kern w:val="0"/>
                <w:sz w:val="24"/>
                <w:szCs w:val="24"/>
              </w:rPr>
              <w:t>“</w:t>
            </w:r>
            <w:r>
              <w:rPr>
                <w:rFonts w:hint="eastAsia" w:ascii="仿宋" w:hAnsi="仿宋" w:eastAsia="仿宋" w:cs="宋体"/>
                <w:color w:val="000000"/>
                <w:kern w:val="0"/>
                <w:sz w:val="24"/>
                <w:szCs w:val="24"/>
              </w:rPr>
              <w:t>五个一</w:t>
            </w:r>
            <w:r>
              <w:rPr>
                <w:rFonts w:ascii="仿宋" w:hAnsi="仿宋" w:eastAsia="仿宋"/>
                <w:color w:val="000000"/>
                <w:kern w:val="0"/>
                <w:sz w:val="24"/>
                <w:szCs w:val="24"/>
              </w:rPr>
              <w:t>”</w:t>
            </w:r>
            <w:r>
              <w:rPr>
                <w:rFonts w:hint="eastAsia" w:ascii="仿宋" w:hAnsi="仿宋" w:eastAsia="仿宋" w:cs="宋体"/>
                <w:color w:val="000000"/>
                <w:kern w:val="0"/>
                <w:sz w:val="24"/>
                <w:szCs w:val="24"/>
              </w:rPr>
              <w:t>工程优秀成果奖</w:t>
            </w:r>
          </w:p>
        </w:tc>
        <w:tc>
          <w:tcPr>
            <w:tcW w:w="2173"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广东省委宣传部</w:t>
            </w:r>
          </w:p>
        </w:tc>
        <w:tc>
          <w:tcPr>
            <w:tcW w:w="3886" w:type="dxa"/>
            <w:gridSpan w:val="4"/>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r>
              <w:rPr>
                <w:rFonts w:hint="eastAsia" w:ascii="仿宋" w:hAnsi="仿宋" w:eastAsia="仿宋" w:cs="宋体"/>
                <w:color w:val="000000"/>
                <w:kern w:val="0"/>
                <w:sz w:val="24"/>
                <w:szCs w:val="24"/>
              </w:rPr>
              <w:t>只有一个等级）</w:t>
            </w:r>
          </w:p>
        </w:tc>
      </w:tr>
      <w:tr>
        <w:tblPrEx>
          <w:tblCellMar>
            <w:top w:w="0" w:type="dxa"/>
            <w:left w:w="0" w:type="dxa"/>
            <w:bottom w:w="0" w:type="dxa"/>
            <w:right w:w="0" w:type="dxa"/>
          </w:tblCellMar>
        </w:tblPrEx>
        <w:trPr>
          <w:trHeight w:val="435" w:hRule="atLeast"/>
          <w:jc w:val="center"/>
        </w:trPr>
        <w:tc>
          <w:tcPr>
            <w:tcW w:w="0" w:type="auto"/>
            <w:vMerge w:val="continue"/>
            <w:tcBorders>
              <w:top w:val="nil"/>
              <w:left w:val="single" w:color="auto" w:sz="4" w:space="0"/>
              <w:bottom w:val="single" w:color="auto" w:sz="4" w:space="0"/>
              <w:right w:val="single" w:color="auto" w:sz="4" w:space="0"/>
            </w:tcBorders>
            <w:noWrap w:val="0"/>
            <w:vAlign w:val="center"/>
          </w:tcPr>
          <w:p>
            <w:pPr>
              <w:pageBreakBefore w:val="0"/>
              <w:widowControl/>
              <w:kinsoku/>
              <w:overflowPunct/>
              <w:bidi w:val="0"/>
              <w:spacing w:line="600" w:lineRule="exact"/>
              <w:jc w:val="left"/>
              <w:rPr>
                <w:rFonts w:ascii="仿宋" w:hAnsi="仿宋" w:eastAsia="仿宋"/>
                <w:color w:val="000000"/>
                <w:kern w:val="0"/>
                <w:sz w:val="24"/>
                <w:szCs w:val="24"/>
              </w:rPr>
            </w:pPr>
          </w:p>
        </w:tc>
        <w:tc>
          <w:tcPr>
            <w:tcW w:w="2657"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 xml:space="preserve">3. </w:t>
            </w:r>
            <w:r>
              <w:rPr>
                <w:rFonts w:hint="eastAsia" w:ascii="仿宋" w:hAnsi="仿宋" w:eastAsia="仿宋" w:cs="宋体"/>
                <w:color w:val="000000"/>
                <w:kern w:val="0"/>
                <w:sz w:val="24"/>
                <w:szCs w:val="24"/>
              </w:rPr>
              <w:t>广东省鲁迅文学艺术奖</w:t>
            </w:r>
          </w:p>
        </w:tc>
        <w:tc>
          <w:tcPr>
            <w:tcW w:w="2173"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广东省委宣传部、省文联</w:t>
            </w:r>
          </w:p>
        </w:tc>
        <w:tc>
          <w:tcPr>
            <w:tcW w:w="3886" w:type="dxa"/>
            <w:gridSpan w:val="4"/>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r>
              <w:rPr>
                <w:rFonts w:hint="eastAsia" w:ascii="仿宋" w:hAnsi="仿宋" w:eastAsia="仿宋" w:cs="宋体"/>
                <w:color w:val="000000"/>
                <w:kern w:val="0"/>
                <w:sz w:val="24"/>
                <w:szCs w:val="24"/>
              </w:rPr>
              <w:t>只有一个等级）</w:t>
            </w:r>
          </w:p>
        </w:tc>
      </w:tr>
      <w:tr>
        <w:tblPrEx>
          <w:tblCellMar>
            <w:top w:w="0" w:type="dxa"/>
            <w:left w:w="0" w:type="dxa"/>
            <w:bottom w:w="0" w:type="dxa"/>
            <w:right w:w="0" w:type="dxa"/>
          </w:tblCellMar>
        </w:tblPrEx>
        <w:trPr>
          <w:trHeight w:val="435" w:hRule="atLeast"/>
          <w:jc w:val="center"/>
        </w:trPr>
        <w:tc>
          <w:tcPr>
            <w:tcW w:w="0" w:type="auto"/>
            <w:vMerge w:val="continue"/>
            <w:tcBorders>
              <w:top w:val="nil"/>
              <w:left w:val="single" w:color="auto" w:sz="4" w:space="0"/>
              <w:bottom w:val="single" w:color="auto" w:sz="4" w:space="0"/>
              <w:right w:val="single" w:color="auto" w:sz="4" w:space="0"/>
            </w:tcBorders>
            <w:noWrap w:val="0"/>
            <w:vAlign w:val="center"/>
          </w:tcPr>
          <w:p>
            <w:pPr>
              <w:pageBreakBefore w:val="0"/>
              <w:widowControl/>
              <w:kinsoku/>
              <w:overflowPunct/>
              <w:bidi w:val="0"/>
              <w:spacing w:line="600" w:lineRule="exact"/>
              <w:jc w:val="left"/>
              <w:rPr>
                <w:rFonts w:ascii="仿宋" w:hAnsi="仿宋" w:eastAsia="仿宋"/>
                <w:color w:val="000000"/>
                <w:kern w:val="0"/>
                <w:sz w:val="24"/>
                <w:szCs w:val="24"/>
              </w:rPr>
            </w:pPr>
          </w:p>
        </w:tc>
        <w:tc>
          <w:tcPr>
            <w:tcW w:w="2657"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 xml:space="preserve">4.  </w:t>
            </w:r>
            <w:r>
              <w:rPr>
                <w:rFonts w:hint="eastAsia" w:ascii="仿宋" w:hAnsi="仿宋" w:eastAsia="仿宋" w:cs="宋体"/>
                <w:color w:val="000000"/>
                <w:kern w:val="0"/>
                <w:sz w:val="24"/>
                <w:szCs w:val="24"/>
              </w:rPr>
              <w:t>广东省高校哲学社会科学优秀成果奖</w:t>
            </w:r>
          </w:p>
        </w:tc>
        <w:tc>
          <w:tcPr>
            <w:tcW w:w="2173"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广东省教育厅</w:t>
            </w:r>
          </w:p>
        </w:tc>
        <w:tc>
          <w:tcPr>
            <w:tcW w:w="980"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p>
        </w:tc>
        <w:tc>
          <w:tcPr>
            <w:tcW w:w="950"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p>
        </w:tc>
        <w:tc>
          <w:tcPr>
            <w:tcW w:w="992"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D</w:t>
            </w:r>
          </w:p>
        </w:tc>
        <w:tc>
          <w:tcPr>
            <w:tcW w:w="964"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E</w:t>
            </w:r>
          </w:p>
        </w:tc>
      </w:tr>
      <w:tr>
        <w:tblPrEx>
          <w:tblCellMar>
            <w:top w:w="0" w:type="dxa"/>
            <w:left w:w="0" w:type="dxa"/>
            <w:bottom w:w="0" w:type="dxa"/>
            <w:right w:w="0" w:type="dxa"/>
          </w:tblCellMar>
        </w:tblPrEx>
        <w:trPr>
          <w:trHeight w:val="352" w:hRule="atLeast"/>
          <w:jc w:val="center"/>
        </w:trPr>
        <w:tc>
          <w:tcPr>
            <w:tcW w:w="0" w:type="auto"/>
            <w:vMerge w:val="continue"/>
            <w:tcBorders>
              <w:top w:val="nil"/>
              <w:left w:val="single" w:color="auto" w:sz="4" w:space="0"/>
              <w:bottom w:val="single" w:color="auto" w:sz="4" w:space="0"/>
              <w:right w:val="single" w:color="auto" w:sz="4" w:space="0"/>
            </w:tcBorders>
            <w:noWrap w:val="0"/>
            <w:vAlign w:val="center"/>
          </w:tcPr>
          <w:p>
            <w:pPr>
              <w:pageBreakBefore w:val="0"/>
              <w:widowControl/>
              <w:kinsoku/>
              <w:overflowPunct/>
              <w:bidi w:val="0"/>
              <w:spacing w:line="600" w:lineRule="exact"/>
              <w:jc w:val="left"/>
              <w:rPr>
                <w:rFonts w:ascii="仿宋" w:hAnsi="仿宋" w:eastAsia="仿宋"/>
                <w:color w:val="000000"/>
                <w:kern w:val="0"/>
                <w:sz w:val="24"/>
                <w:szCs w:val="24"/>
              </w:rPr>
            </w:pPr>
          </w:p>
        </w:tc>
        <w:tc>
          <w:tcPr>
            <w:tcW w:w="2657"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5</w:t>
            </w:r>
            <w:r>
              <w:rPr>
                <w:rFonts w:hint="eastAsia" w:ascii="仿宋" w:hAnsi="仿宋" w:eastAsia="仿宋" w:cs="宋体"/>
                <w:color w:val="000000"/>
                <w:kern w:val="0"/>
                <w:sz w:val="24"/>
                <w:szCs w:val="24"/>
              </w:rPr>
              <w:t>．星海音乐奖</w:t>
            </w:r>
          </w:p>
        </w:tc>
        <w:tc>
          <w:tcPr>
            <w:tcW w:w="2173"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广东省音乐家协会</w:t>
            </w:r>
          </w:p>
        </w:tc>
        <w:tc>
          <w:tcPr>
            <w:tcW w:w="980"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p>
        </w:tc>
        <w:tc>
          <w:tcPr>
            <w:tcW w:w="950"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p>
        </w:tc>
        <w:tc>
          <w:tcPr>
            <w:tcW w:w="992"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D</w:t>
            </w:r>
          </w:p>
        </w:tc>
        <w:tc>
          <w:tcPr>
            <w:tcW w:w="964"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E</w:t>
            </w:r>
          </w:p>
        </w:tc>
      </w:tr>
      <w:tr>
        <w:tblPrEx>
          <w:tblCellMar>
            <w:top w:w="0" w:type="dxa"/>
            <w:left w:w="0" w:type="dxa"/>
            <w:bottom w:w="0" w:type="dxa"/>
            <w:right w:w="0" w:type="dxa"/>
          </w:tblCellMar>
        </w:tblPrEx>
        <w:trPr>
          <w:trHeight w:val="435" w:hRule="atLeast"/>
          <w:jc w:val="center"/>
        </w:trPr>
        <w:tc>
          <w:tcPr>
            <w:tcW w:w="0" w:type="auto"/>
            <w:vMerge w:val="continue"/>
            <w:tcBorders>
              <w:top w:val="nil"/>
              <w:left w:val="single" w:color="auto" w:sz="4" w:space="0"/>
              <w:bottom w:val="single" w:color="auto" w:sz="4" w:space="0"/>
              <w:right w:val="single" w:color="auto" w:sz="4" w:space="0"/>
            </w:tcBorders>
            <w:noWrap w:val="0"/>
            <w:vAlign w:val="center"/>
          </w:tcPr>
          <w:p>
            <w:pPr>
              <w:pageBreakBefore w:val="0"/>
              <w:widowControl/>
              <w:kinsoku/>
              <w:overflowPunct/>
              <w:bidi w:val="0"/>
              <w:spacing w:line="600" w:lineRule="exact"/>
              <w:jc w:val="left"/>
              <w:rPr>
                <w:rFonts w:ascii="仿宋" w:hAnsi="仿宋" w:eastAsia="仿宋"/>
                <w:color w:val="000000"/>
                <w:kern w:val="0"/>
                <w:sz w:val="24"/>
                <w:szCs w:val="24"/>
              </w:rPr>
            </w:pPr>
          </w:p>
        </w:tc>
        <w:tc>
          <w:tcPr>
            <w:tcW w:w="2657"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 xml:space="preserve">6. </w:t>
            </w:r>
            <w:r>
              <w:rPr>
                <w:rFonts w:hint="eastAsia" w:ascii="仿宋" w:hAnsi="仿宋" w:eastAsia="仿宋" w:cs="宋体"/>
                <w:color w:val="000000"/>
                <w:kern w:val="0"/>
                <w:sz w:val="24"/>
                <w:szCs w:val="24"/>
              </w:rPr>
              <w:t>广东省艺术节比赛</w:t>
            </w:r>
          </w:p>
        </w:tc>
        <w:tc>
          <w:tcPr>
            <w:tcW w:w="2173"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广东省文化厅、省文联</w:t>
            </w:r>
          </w:p>
        </w:tc>
        <w:tc>
          <w:tcPr>
            <w:tcW w:w="98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p>
        </w:tc>
        <w:tc>
          <w:tcPr>
            <w:tcW w:w="95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p>
        </w:tc>
        <w:tc>
          <w:tcPr>
            <w:tcW w:w="992"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D</w:t>
            </w:r>
          </w:p>
        </w:tc>
        <w:tc>
          <w:tcPr>
            <w:tcW w:w="96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E</w:t>
            </w:r>
          </w:p>
        </w:tc>
      </w:tr>
      <w:tr>
        <w:tblPrEx>
          <w:tblCellMar>
            <w:top w:w="0" w:type="dxa"/>
            <w:left w:w="0" w:type="dxa"/>
            <w:bottom w:w="0" w:type="dxa"/>
            <w:right w:w="0" w:type="dxa"/>
          </w:tblCellMar>
        </w:tblPrEx>
        <w:trPr>
          <w:trHeight w:val="570" w:hRule="atLeast"/>
          <w:jc w:val="center"/>
        </w:trPr>
        <w:tc>
          <w:tcPr>
            <w:tcW w:w="0" w:type="auto"/>
            <w:vMerge w:val="continue"/>
            <w:tcBorders>
              <w:top w:val="nil"/>
              <w:left w:val="single" w:color="auto" w:sz="4" w:space="0"/>
              <w:bottom w:val="single" w:color="auto" w:sz="4" w:space="0"/>
              <w:right w:val="single" w:color="auto" w:sz="4" w:space="0"/>
            </w:tcBorders>
            <w:noWrap w:val="0"/>
            <w:vAlign w:val="center"/>
          </w:tcPr>
          <w:p>
            <w:pPr>
              <w:pageBreakBefore w:val="0"/>
              <w:widowControl/>
              <w:kinsoku/>
              <w:overflowPunct/>
              <w:bidi w:val="0"/>
              <w:spacing w:line="600" w:lineRule="exact"/>
              <w:jc w:val="left"/>
              <w:rPr>
                <w:rFonts w:ascii="仿宋" w:hAnsi="仿宋" w:eastAsia="仿宋"/>
                <w:color w:val="000000"/>
                <w:kern w:val="0"/>
                <w:sz w:val="24"/>
                <w:szCs w:val="24"/>
              </w:rPr>
            </w:pPr>
          </w:p>
        </w:tc>
        <w:tc>
          <w:tcPr>
            <w:tcW w:w="2657" w:type="dxa"/>
            <w:tcBorders>
              <w:top w:val="nil"/>
              <w:left w:val="nil"/>
              <w:bottom w:val="single" w:color="auto" w:sz="4"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7</w:t>
            </w:r>
            <w:r>
              <w:rPr>
                <w:rFonts w:hint="eastAsia" w:ascii="仿宋" w:hAnsi="仿宋" w:eastAsia="仿宋" w:cs="宋体"/>
                <w:color w:val="000000"/>
                <w:kern w:val="0"/>
                <w:sz w:val="24"/>
                <w:szCs w:val="24"/>
              </w:rPr>
              <w:t>．全国大学生艺术展演</w:t>
            </w:r>
          </w:p>
        </w:tc>
        <w:tc>
          <w:tcPr>
            <w:tcW w:w="2173" w:type="dxa"/>
            <w:tcBorders>
              <w:top w:val="nil"/>
              <w:left w:val="nil"/>
              <w:bottom w:val="single" w:color="auto" w:sz="4"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教育部</w:t>
            </w:r>
          </w:p>
        </w:tc>
        <w:tc>
          <w:tcPr>
            <w:tcW w:w="980" w:type="dxa"/>
            <w:tcBorders>
              <w:top w:val="nil"/>
              <w:left w:val="nil"/>
              <w:bottom w:val="single" w:color="auto" w:sz="4"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p>
        </w:tc>
        <w:tc>
          <w:tcPr>
            <w:tcW w:w="950" w:type="dxa"/>
            <w:tcBorders>
              <w:top w:val="nil"/>
              <w:left w:val="nil"/>
              <w:bottom w:val="single" w:color="auto" w:sz="4"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C</w:t>
            </w:r>
          </w:p>
        </w:tc>
        <w:tc>
          <w:tcPr>
            <w:tcW w:w="992" w:type="dxa"/>
            <w:tcBorders>
              <w:top w:val="nil"/>
              <w:left w:val="nil"/>
              <w:bottom w:val="single" w:color="auto" w:sz="4"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D</w:t>
            </w:r>
          </w:p>
        </w:tc>
        <w:tc>
          <w:tcPr>
            <w:tcW w:w="964" w:type="dxa"/>
            <w:tcBorders>
              <w:top w:val="nil"/>
              <w:left w:val="nil"/>
              <w:bottom w:val="single" w:color="auto" w:sz="4"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E</w:t>
            </w:r>
          </w:p>
        </w:tc>
      </w:tr>
      <w:tr>
        <w:tblPrEx>
          <w:tblCellMar>
            <w:top w:w="0" w:type="dxa"/>
            <w:left w:w="0" w:type="dxa"/>
            <w:bottom w:w="0" w:type="dxa"/>
            <w:right w:w="0" w:type="dxa"/>
          </w:tblCellMar>
        </w:tblPrEx>
        <w:trPr>
          <w:trHeight w:val="690" w:hRule="atLeast"/>
          <w:jc w:val="center"/>
        </w:trPr>
        <w:tc>
          <w:tcPr>
            <w:tcW w:w="648" w:type="dxa"/>
            <w:vMerge w:val="restart"/>
            <w:tcBorders>
              <w:top w:val="single" w:color="auto" w:sz="8" w:space="0"/>
              <w:left w:val="single" w:color="auto" w:sz="8" w:space="0"/>
              <w:bottom w:val="single" w:color="auto" w:sz="8" w:space="0"/>
              <w:right w:val="single" w:color="auto" w:sz="4" w:space="0"/>
            </w:tcBorders>
            <w:noWrap/>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hint="eastAsia" w:ascii="仿宋" w:hAnsi="仿宋" w:eastAsia="仿宋" w:cs="宋体"/>
                <w:color w:val="000000"/>
                <w:kern w:val="0"/>
                <w:sz w:val="24"/>
                <w:szCs w:val="24"/>
              </w:rPr>
              <w:t>厅局级</w:t>
            </w:r>
          </w:p>
        </w:tc>
        <w:tc>
          <w:tcPr>
            <w:tcW w:w="2657" w:type="dxa"/>
            <w:tcBorders>
              <w:top w:val="single" w:color="auto" w:sz="4" w:space="0"/>
              <w:left w:val="single" w:color="auto" w:sz="4" w:space="0"/>
              <w:bottom w:val="single" w:color="auto" w:sz="4"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 xml:space="preserve">1.  </w:t>
            </w:r>
            <w:r>
              <w:rPr>
                <w:rFonts w:hint="eastAsia" w:ascii="仿宋" w:hAnsi="仿宋" w:eastAsia="仿宋" w:cs="宋体"/>
                <w:color w:val="000000"/>
                <w:kern w:val="0"/>
                <w:sz w:val="24"/>
                <w:szCs w:val="24"/>
              </w:rPr>
              <w:t>广东省高校教学管理（科研管理）优秀成果奖</w:t>
            </w:r>
          </w:p>
        </w:tc>
        <w:tc>
          <w:tcPr>
            <w:tcW w:w="2173"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广东省教育厅</w:t>
            </w:r>
          </w:p>
        </w:tc>
        <w:tc>
          <w:tcPr>
            <w:tcW w:w="980"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E</w:t>
            </w:r>
          </w:p>
        </w:tc>
        <w:tc>
          <w:tcPr>
            <w:tcW w:w="950"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E</w:t>
            </w:r>
          </w:p>
        </w:tc>
        <w:tc>
          <w:tcPr>
            <w:tcW w:w="992"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hint="eastAsia" w:ascii="仿宋" w:hAnsi="仿宋" w:eastAsia="仿宋" w:cs="宋体"/>
                <w:color w:val="000000"/>
                <w:kern w:val="0"/>
                <w:sz w:val="24"/>
                <w:szCs w:val="24"/>
              </w:rPr>
              <w:t>　</w:t>
            </w:r>
          </w:p>
        </w:tc>
        <w:tc>
          <w:tcPr>
            <w:tcW w:w="964" w:type="dxa"/>
            <w:tcBorders>
              <w:top w:val="single" w:color="auto" w:sz="4" w:space="0"/>
              <w:left w:val="nil"/>
              <w:bottom w:val="single" w:color="auto" w:sz="4" w:space="0"/>
              <w:right w:val="single" w:color="auto" w:sz="4"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hint="eastAsia" w:ascii="仿宋" w:hAnsi="仿宋" w:eastAsia="仿宋" w:cs="宋体"/>
                <w:color w:val="000000"/>
                <w:kern w:val="0"/>
                <w:sz w:val="24"/>
                <w:szCs w:val="24"/>
              </w:rPr>
              <w:t>　</w:t>
            </w:r>
          </w:p>
        </w:tc>
      </w:tr>
      <w:tr>
        <w:tblPrEx>
          <w:tblCellMar>
            <w:top w:w="0" w:type="dxa"/>
            <w:left w:w="0" w:type="dxa"/>
            <w:bottom w:w="0" w:type="dxa"/>
            <w:right w:w="0" w:type="dxa"/>
          </w:tblCellMar>
        </w:tblPrEx>
        <w:trPr>
          <w:trHeight w:val="705" w:hRule="atLeast"/>
          <w:jc w:val="center"/>
        </w:trPr>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pageBreakBefore w:val="0"/>
              <w:widowControl/>
              <w:kinsoku/>
              <w:overflowPunct/>
              <w:bidi w:val="0"/>
              <w:spacing w:line="600" w:lineRule="exact"/>
              <w:jc w:val="left"/>
              <w:rPr>
                <w:rFonts w:ascii="仿宋" w:hAnsi="仿宋" w:eastAsia="仿宋"/>
                <w:color w:val="000000"/>
                <w:kern w:val="0"/>
                <w:sz w:val="24"/>
                <w:szCs w:val="24"/>
              </w:rPr>
            </w:pPr>
          </w:p>
        </w:tc>
        <w:tc>
          <w:tcPr>
            <w:tcW w:w="2657"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 xml:space="preserve">2.  </w:t>
            </w:r>
            <w:r>
              <w:rPr>
                <w:rFonts w:hint="eastAsia" w:ascii="仿宋" w:hAnsi="仿宋" w:eastAsia="仿宋" w:cs="宋体"/>
                <w:color w:val="000000"/>
                <w:kern w:val="0"/>
                <w:sz w:val="24"/>
                <w:szCs w:val="24"/>
              </w:rPr>
              <w:t>广东省高校优秀课程（精品课程、名牌课程）奖</w:t>
            </w:r>
          </w:p>
        </w:tc>
        <w:tc>
          <w:tcPr>
            <w:tcW w:w="2173"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广东省教育厅</w:t>
            </w:r>
          </w:p>
        </w:tc>
        <w:tc>
          <w:tcPr>
            <w:tcW w:w="980"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E</w:t>
            </w:r>
          </w:p>
        </w:tc>
        <w:tc>
          <w:tcPr>
            <w:tcW w:w="950"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E</w:t>
            </w:r>
          </w:p>
        </w:tc>
        <w:tc>
          <w:tcPr>
            <w:tcW w:w="992"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hint="eastAsia" w:ascii="仿宋" w:hAnsi="仿宋" w:eastAsia="仿宋" w:cs="宋体"/>
                <w:color w:val="000000"/>
                <w:kern w:val="0"/>
                <w:sz w:val="24"/>
                <w:szCs w:val="24"/>
              </w:rPr>
              <w:t>　</w:t>
            </w:r>
          </w:p>
        </w:tc>
        <w:tc>
          <w:tcPr>
            <w:tcW w:w="964"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hint="eastAsia" w:ascii="仿宋" w:hAnsi="仿宋" w:eastAsia="仿宋" w:cs="宋体"/>
                <w:color w:val="000000"/>
                <w:kern w:val="0"/>
                <w:sz w:val="24"/>
                <w:szCs w:val="24"/>
              </w:rPr>
              <w:t>　</w:t>
            </w:r>
          </w:p>
        </w:tc>
      </w:tr>
      <w:tr>
        <w:tblPrEx>
          <w:tblCellMar>
            <w:top w:w="0" w:type="dxa"/>
            <w:left w:w="0" w:type="dxa"/>
            <w:bottom w:w="0" w:type="dxa"/>
            <w:right w:w="0" w:type="dxa"/>
          </w:tblCellMar>
        </w:tblPrEx>
        <w:trPr>
          <w:trHeight w:val="480" w:hRule="atLeast"/>
          <w:jc w:val="center"/>
        </w:trPr>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pageBreakBefore w:val="0"/>
              <w:widowControl/>
              <w:kinsoku/>
              <w:overflowPunct/>
              <w:bidi w:val="0"/>
              <w:spacing w:line="600" w:lineRule="exact"/>
              <w:jc w:val="left"/>
              <w:rPr>
                <w:rFonts w:ascii="仿宋" w:hAnsi="仿宋" w:eastAsia="仿宋"/>
                <w:color w:val="000000"/>
                <w:kern w:val="0"/>
                <w:sz w:val="24"/>
                <w:szCs w:val="24"/>
              </w:rPr>
            </w:pPr>
          </w:p>
        </w:tc>
        <w:tc>
          <w:tcPr>
            <w:tcW w:w="2657"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ascii="仿宋" w:hAnsi="仿宋" w:eastAsia="仿宋"/>
                <w:color w:val="000000"/>
                <w:kern w:val="0"/>
                <w:sz w:val="24"/>
                <w:szCs w:val="24"/>
              </w:rPr>
              <w:t xml:space="preserve">3. </w:t>
            </w:r>
            <w:r>
              <w:rPr>
                <w:rFonts w:hint="eastAsia" w:ascii="仿宋" w:hAnsi="仿宋" w:eastAsia="仿宋" w:cs="宋体"/>
                <w:color w:val="000000"/>
                <w:kern w:val="0"/>
                <w:sz w:val="24"/>
                <w:szCs w:val="24"/>
              </w:rPr>
              <w:t>广东省大学生艺术展演</w:t>
            </w:r>
          </w:p>
        </w:tc>
        <w:tc>
          <w:tcPr>
            <w:tcW w:w="2173"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240" w:lineRule="auto"/>
              <w:jc w:val="left"/>
              <w:rPr>
                <w:rFonts w:ascii="仿宋" w:hAnsi="仿宋" w:eastAsia="仿宋"/>
                <w:color w:val="000000"/>
                <w:kern w:val="0"/>
                <w:sz w:val="24"/>
                <w:szCs w:val="24"/>
              </w:rPr>
            </w:pPr>
            <w:r>
              <w:rPr>
                <w:rFonts w:hint="eastAsia" w:ascii="仿宋" w:hAnsi="仿宋" w:eastAsia="仿宋" w:cs="宋体"/>
                <w:color w:val="000000"/>
                <w:kern w:val="0"/>
                <w:sz w:val="24"/>
                <w:szCs w:val="24"/>
              </w:rPr>
              <w:t>广东省教育厅</w:t>
            </w:r>
          </w:p>
        </w:tc>
        <w:tc>
          <w:tcPr>
            <w:tcW w:w="98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E</w:t>
            </w:r>
          </w:p>
        </w:tc>
        <w:tc>
          <w:tcPr>
            <w:tcW w:w="95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ascii="仿宋" w:hAnsi="仿宋" w:eastAsia="仿宋"/>
                <w:color w:val="000000"/>
                <w:kern w:val="0"/>
                <w:sz w:val="24"/>
                <w:szCs w:val="24"/>
              </w:rPr>
              <w:t>E</w:t>
            </w:r>
          </w:p>
        </w:tc>
        <w:tc>
          <w:tcPr>
            <w:tcW w:w="992"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hint="eastAsia" w:ascii="仿宋" w:hAnsi="仿宋" w:eastAsia="仿宋" w:cs="宋体"/>
                <w:color w:val="000000"/>
                <w:kern w:val="0"/>
                <w:sz w:val="24"/>
                <w:szCs w:val="24"/>
              </w:rPr>
              <w:t>　</w:t>
            </w:r>
          </w:p>
        </w:tc>
        <w:tc>
          <w:tcPr>
            <w:tcW w:w="96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pageBreakBefore w:val="0"/>
              <w:widowControl/>
              <w:kinsoku/>
              <w:overflowPunct/>
              <w:bidi w:val="0"/>
              <w:spacing w:line="600" w:lineRule="exact"/>
              <w:jc w:val="center"/>
              <w:rPr>
                <w:rFonts w:ascii="仿宋" w:hAnsi="仿宋" w:eastAsia="仿宋"/>
                <w:color w:val="000000"/>
                <w:kern w:val="0"/>
                <w:sz w:val="24"/>
                <w:szCs w:val="24"/>
              </w:rPr>
            </w:pPr>
            <w:r>
              <w:rPr>
                <w:rFonts w:hint="eastAsia" w:ascii="仿宋" w:hAnsi="仿宋" w:eastAsia="仿宋" w:cs="宋体"/>
                <w:color w:val="000000"/>
                <w:kern w:val="0"/>
                <w:sz w:val="24"/>
                <w:szCs w:val="24"/>
              </w:rPr>
              <w:t>　</w:t>
            </w:r>
          </w:p>
        </w:tc>
      </w:tr>
    </w:tbl>
    <w:p>
      <w:pPr>
        <w:keepNext w:val="0"/>
        <w:keepLines w:val="0"/>
        <w:pageBreakBefore w:val="0"/>
        <w:widowControl w:val="0"/>
        <w:kinsoku/>
        <w:wordWrap/>
        <w:overflowPunct/>
        <w:topLinePunct w:val="0"/>
        <w:autoSpaceDE/>
        <w:autoSpaceDN/>
        <w:bidi w:val="0"/>
        <w:adjustRightInd/>
        <w:snapToGrid/>
        <w:spacing w:before="156" w:beforeLines="50" w:line="560" w:lineRule="exact"/>
        <w:ind w:firstLine="562" w:firstLineChars="200"/>
        <w:textAlignment w:val="auto"/>
        <w:rPr>
          <w:rFonts w:ascii="仿宋" w:hAnsi="仿宋" w:eastAsia="仿宋"/>
          <w:b/>
          <w:bCs/>
          <w:color w:val="000000"/>
          <w:sz w:val="28"/>
          <w:szCs w:val="28"/>
        </w:rPr>
      </w:pPr>
      <w:r>
        <w:rPr>
          <w:rFonts w:ascii="仿宋" w:hAnsi="仿宋" w:eastAsia="仿宋"/>
          <w:b/>
          <w:bCs/>
          <w:color w:val="000000"/>
          <w:sz w:val="28"/>
          <w:szCs w:val="28"/>
        </w:rPr>
        <w:t>有关说明</w:t>
      </w:r>
      <w:r>
        <w:rPr>
          <w:rFonts w:hint="eastAsia" w:ascii="仿宋" w:hAnsi="仿宋" w:eastAsia="仿宋" w:cs="宋体"/>
          <w:b/>
          <w:bCs/>
          <w:color w:val="000000"/>
          <w:sz w:val="28"/>
          <w:szCs w:val="28"/>
        </w:rPr>
        <w:t>：</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1</w:t>
      </w:r>
      <w:r>
        <w:rPr>
          <w:rFonts w:hint="eastAsia" w:ascii="仿宋_GB2312" w:hAnsi="仿宋" w:eastAsia="仿宋_GB2312" w:cs="Times New Roman"/>
          <w:color w:val="000000"/>
          <w:sz w:val="28"/>
          <w:szCs w:val="28"/>
          <w:lang w:val="en-US" w:eastAsia="zh-CN"/>
        </w:rPr>
        <w:t>.</w:t>
      </w:r>
      <w:r>
        <w:rPr>
          <w:rFonts w:hint="eastAsia" w:ascii="仿宋_GB2312" w:hAnsi="仿宋" w:eastAsia="仿宋_GB2312" w:cs="Times New Roman"/>
          <w:color w:val="000000"/>
          <w:sz w:val="28"/>
          <w:szCs w:val="28"/>
        </w:rPr>
        <w:t>成果均指第一完成人或第一作者。作为指导教师（须经学院批准备案）指导学生获奖，一等奖（金）可按系数0. 5计算为个人成果，二等奖（银）可按系数0. 3计算为个人成果。</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2</w:t>
      </w:r>
      <w:r>
        <w:rPr>
          <w:rFonts w:hint="eastAsia" w:ascii="仿宋_GB2312" w:hAnsi="仿宋" w:eastAsia="仿宋_GB2312" w:cs="Times New Roman"/>
          <w:color w:val="000000"/>
          <w:sz w:val="28"/>
          <w:szCs w:val="28"/>
          <w:lang w:val="en-US" w:eastAsia="zh-CN"/>
        </w:rPr>
        <w:t>.</w:t>
      </w:r>
      <w:r>
        <w:rPr>
          <w:rFonts w:hint="eastAsia" w:ascii="仿宋_GB2312" w:hAnsi="仿宋" w:eastAsia="仿宋_GB2312" w:cs="Times New Roman"/>
          <w:color w:val="000000"/>
          <w:sz w:val="28"/>
          <w:szCs w:val="28"/>
        </w:rPr>
        <w:t>获奖或入选证书盖章如超过两个以上，以最高级别的盖章为准。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3．公开出版的一张个人专题CD、一部个人作品集可折算为D类论文1篇，但折算数不得超过该专业技术职务要求论文数的40%。</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4．一部大中型声乐或器乐多声部音乐创作或大中型舞蹈创作作品（作品长度需达到8分钟）、首次省级以上公演可折算为D类成果1项。（2018年9月1日起增加“表演专业教师举办个人音乐会、舞蹈晚会可折算E类成果1项，最多可折算1项。”）</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5．本专业期刊上发表作品，同一期作品只相当于0. 5篇同类论文，同一期作品及论文相当于1篇同类论文。</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6. 申报高级专业技术职务的选择条件中论文要求可用相同等级成果替代，必备条件中论文要求不能用成果替代。</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7．同一件作品被不同刊物刊载，被不同系统收录或获奖，按最高档次核定，不重复计算。</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8. 厅级以上单位举行的非专业性评奖或专题性非专业比赛按次一等级计算。</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9．各行业协会举行的专业性评奖或专题性比赛按次一等级计算。</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10．厅级以上单位或各专业协会分支（或所属）机构举行的评奖或比赛按次一等级计算。</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11. 所有成果折算均须经学院认定。</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2NzFjYjU0ODdlMGIyZjE2NzBmMTU1YmExZGNiMjMifQ=="/>
  </w:docVars>
  <w:rsids>
    <w:rsidRoot w:val="3C1D3B39"/>
    <w:rsid w:val="3C1D3B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w:basedOn w:val="1"/>
    <w:next w:val="3"/>
    <w:qFormat/>
    <w:uiPriority w:val="1"/>
    <w:pPr>
      <w:autoSpaceDE w:val="0"/>
      <w:autoSpaceDN w:val="0"/>
      <w:jc w:val="left"/>
    </w:pPr>
    <w:rPr>
      <w:rFonts w:ascii="宋体" w:hAnsi="宋体" w:cs="宋体"/>
      <w:kern w:val="0"/>
      <w:sz w:val="32"/>
      <w:szCs w:val="32"/>
      <w:lang w:val="zh-CN" w:bidi="zh-CN"/>
    </w:rPr>
  </w:style>
  <w:style w:type="paragraph" w:styleId="3">
    <w:name w:val="Title"/>
    <w:basedOn w:val="1"/>
    <w:next w:val="1"/>
    <w:qFormat/>
    <w:uiPriority w:val="10"/>
    <w:pPr>
      <w:spacing w:before="240" w:after="120"/>
      <w:jc w:val="center"/>
      <w:outlineLvl w:val="1"/>
    </w:pPr>
    <w:rPr>
      <w:b/>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2022-10-12T03:08:00Z</dcterms:created>
  <dc:creator>陈青丽</dc:creator>
  <cp:lastModifiedBy>陈青丽</cp:lastModifiedBy>
  <dcterms:modified xsi:type="dcterms:W3CDTF">2022-10-12T03:09:15Z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21BBFF2EF96F40A7A81669911B99CD29</vt:lpwstr>
  </property>
</Properties>
</file>