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29BE223">
      <w:pPr>
        <w:jc w:val="center"/>
        <w:rPr>
          <w:rFonts w:hint="eastAsia" w:ascii="方正小标宋_GBK" w:hAnsi="方正小标宋_GBK" w:eastAsia="方正小标宋_GBK" w:cs="方正小标宋_GBK"/>
          <w:b/>
          <w:bCs/>
          <w:sz w:val="44"/>
          <w:szCs w:val="44"/>
          <w14:ligatures w14:val="none"/>
        </w:rPr>
      </w:pPr>
      <w:r>
        <w:rPr>
          <w:rFonts w:hint="eastAsia" w:ascii="方正小标宋_GBK" w:hAnsi="方正小标宋_GBK" w:eastAsia="方正小标宋_GBK" w:cs="方正小标宋_GBK"/>
          <w:b/>
          <w:bCs/>
          <w:sz w:val="44"/>
          <w:szCs w:val="44"/>
          <w14:ligatures w14:val="none"/>
        </w:rPr>
        <w:t>太湖奖科创分计算规则</w:t>
      </w:r>
    </w:p>
    <w:p w14:paraId="329BE224"/>
    <w:p w14:paraId="329BE225">
      <w:pPr>
        <w:pStyle w:val="32"/>
        <w:numPr>
          <w:ilvl w:val="0"/>
          <w:numId w:val="1"/>
        </w:num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科创分计算指引</w:t>
      </w:r>
    </w:p>
    <w:p w14:paraId="329BE226">
      <w:pPr>
        <w:pStyle w:val="32"/>
        <w:numPr>
          <w:ilvl w:val="0"/>
          <w:numId w:val="2"/>
        </w:num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根据本文件表格内提供的分值，逐项填写《202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年太湖奖科创分统计表》并计算科创总分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</w:p>
    <w:p w14:paraId="329BE227">
      <w:pPr>
        <w:pStyle w:val="32"/>
        <w:numPr>
          <w:ilvl w:val="0"/>
          <w:numId w:val="2"/>
        </w:num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同一成果或荣誉证明材料在本年度太湖奖不同奖项申请中</w:t>
      </w:r>
      <w:r>
        <w:rPr>
          <w:rFonts w:hint="eastAsia" w:ascii="仿宋" w:hAnsi="仿宋" w:eastAsia="仿宋"/>
          <w:b/>
          <w:bCs/>
          <w:sz w:val="32"/>
          <w:szCs w:val="32"/>
        </w:rPr>
        <w:t>不得同时使用</w:t>
      </w:r>
      <w:r>
        <w:rPr>
          <w:rFonts w:hint="eastAsia" w:ascii="仿宋" w:hAnsi="仿宋" w:eastAsia="仿宋"/>
          <w:sz w:val="32"/>
          <w:szCs w:val="32"/>
        </w:rPr>
        <w:t>，否则以作弊论处</w:t>
      </w:r>
      <w:r>
        <w:rPr>
          <w:rFonts w:hint="eastAsia" w:ascii="仿宋" w:hAnsi="仿宋" w:eastAsia="仿宋"/>
          <w:sz w:val="32"/>
          <w:szCs w:val="32"/>
          <w:lang w:eastAsia="zh-CN"/>
        </w:rPr>
        <w:t>；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学业奖与科创奖仅能选一项申请。</w:t>
      </w:r>
      <w:bookmarkStart w:id="0" w:name="_GoBack"/>
      <w:bookmarkEnd w:id="0"/>
    </w:p>
    <w:p w14:paraId="329BE228">
      <w:pPr>
        <w:pStyle w:val="32"/>
        <w:ind w:left="440"/>
        <w:rPr>
          <w:rFonts w:ascii="仿宋" w:hAnsi="仿宋" w:eastAsia="仿宋"/>
          <w:sz w:val="24"/>
        </w:rPr>
      </w:pPr>
      <w:r>
        <w:rPr>
          <w:rFonts w:hint="eastAsia" w:ascii="仿宋" w:hAnsi="仿宋" w:eastAsia="仿宋"/>
          <w:sz w:val="24"/>
        </w:rPr>
        <w:t>（例：国际会议论文在加科创分与申请游学奖中只能选择一项，同时使用违规；但在未来奖“个人陈述”中提及、不涉及个人加分则无影响。）</w:t>
      </w:r>
    </w:p>
    <w:p w14:paraId="329BE229">
      <w:pPr>
        <w:pStyle w:val="32"/>
        <w:numPr>
          <w:ilvl w:val="0"/>
          <w:numId w:val="2"/>
        </w:num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同一学术成果或奖励按最高级别标准加分一次；仅统计202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/>
          <w:sz w:val="32"/>
          <w:szCs w:val="32"/>
        </w:rPr>
        <w:t>年（自然年）的成果及荣誉</w:t>
      </w:r>
      <w:r>
        <w:rPr>
          <w:rFonts w:hint="eastAsia" w:ascii="仿宋" w:hAnsi="仿宋" w:eastAsia="仿宋"/>
          <w:sz w:val="32"/>
          <w:szCs w:val="32"/>
          <w:lang w:eastAsia="zh-CN"/>
        </w:rPr>
        <w:t>。</w:t>
      </w:r>
      <w:r>
        <w:rPr>
          <w:rFonts w:hint="eastAsia" w:ascii="仿宋" w:hAnsi="仿宋" w:eastAsia="仿宋"/>
          <w:b/>
          <w:bCs/>
          <w:sz w:val="32"/>
          <w:szCs w:val="32"/>
          <w:lang w:val="en-US" w:eastAsia="zh-CN"/>
        </w:rPr>
        <w:t>25届毕业生可将25年获得成果一并纳入计算。</w:t>
      </w:r>
    </w:p>
    <w:p w14:paraId="329BE22A">
      <w:pPr>
        <w:widowControl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br w:type="page"/>
      </w:r>
    </w:p>
    <w:p w14:paraId="329BE22B">
      <w:pPr>
        <w:pStyle w:val="32"/>
        <w:numPr>
          <w:ilvl w:val="0"/>
          <w:numId w:val="1"/>
        </w:num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论文或著作加分</w:t>
      </w:r>
    </w:p>
    <w:tbl>
      <w:tblPr>
        <w:tblStyle w:val="1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42"/>
        <w:gridCol w:w="1857"/>
      </w:tblGrid>
      <w:tr w14:paraId="329BE2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2" w:type="dxa"/>
          </w:tcPr>
          <w:p w14:paraId="329BE22C">
            <w:pPr>
              <w:pStyle w:val="32"/>
              <w:spacing w:after="0" w:line="240" w:lineRule="auto"/>
              <w:ind w:left="0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成果级别</w:t>
            </w:r>
          </w:p>
        </w:tc>
        <w:tc>
          <w:tcPr>
            <w:tcW w:w="1857" w:type="dxa"/>
          </w:tcPr>
          <w:p w14:paraId="329BE22D">
            <w:pPr>
              <w:pStyle w:val="32"/>
              <w:spacing w:after="0" w:line="240" w:lineRule="auto"/>
              <w:ind w:left="0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第一作者</w:t>
            </w:r>
          </w:p>
        </w:tc>
      </w:tr>
      <w:tr w14:paraId="329BE2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2" w:type="dxa"/>
          </w:tcPr>
          <w:p w14:paraId="329BE233">
            <w:pPr>
              <w:spacing w:after="0" w:line="240" w:lineRule="auto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CCF</w:t>
            </w:r>
            <w:r>
              <w:rPr>
                <w:rFonts w:hint="eastAsia" w:ascii="仿宋" w:hAnsi="仿宋" w:eastAsia="仿宋"/>
                <w:sz w:val="24"/>
              </w:rPr>
              <w:t xml:space="preserve"> </w:t>
            </w:r>
            <w:r>
              <w:rPr>
                <w:rFonts w:ascii="仿宋" w:hAnsi="仿宋" w:eastAsia="仿宋"/>
                <w:sz w:val="24"/>
              </w:rPr>
              <w:t>A</w:t>
            </w:r>
            <w:r>
              <w:rPr>
                <w:rFonts w:hint="eastAsia" w:ascii="仿宋" w:hAnsi="仿宋" w:eastAsia="仿宋"/>
                <w:sz w:val="24"/>
              </w:rPr>
              <w:t>类</w:t>
            </w:r>
            <w:r>
              <w:rPr>
                <w:rFonts w:ascii="仿宋" w:hAnsi="仿宋" w:eastAsia="仿宋"/>
                <w:sz w:val="24"/>
              </w:rPr>
              <w:t>论文</w:t>
            </w:r>
            <w:r>
              <w:rPr>
                <w:rFonts w:hint="eastAsia" w:ascii="仿宋" w:hAnsi="仿宋" w:eastAsia="仿宋"/>
                <w:sz w:val="24"/>
              </w:rPr>
              <w:t>；</w:t>
            </w:r>
          </w:p>
          <w:p w14:paraId="329BE234">
            <w:pPr>
              <w:spacing w:after="0" w:line="240" w:lineRule="auto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SCI </w:t>
            </w:r>
            <w:r>
              <w:rPr>
                <w:rFonts w:ascii="仿宋" w:hAnsi="仿宋" w:eastAsia="仿宋"/>
                <w:sz w:val="24"/>
              </w:rPr>
              <w:t>JCR检索源期刊中一区收录的论文</w:t>
            </w:r>
            <w:r>
              <w:rPr>
                <w:rFonts w:hint="eastAsia" w:ascii="仿宋" w:hAnsi="仿宋" w:eastAsia="仿宋"/>
                <w:sz w:val="24"/>
              </w:rPr>
              <w:t>；</w:t>
            </w:r>
          </w:p>
        </w:tc>
        <w:tc>
          <w:tcPr>
            <w:tcW w:w="1857" w:type="dxa"/>
          </w:tcPr>
          <w:p w14:paraId="329BE236">
            <w:pPr>
              <w:spacing w:after="0" w:line="480" w:lineRule="auto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12</w:t>
            </w:r>
          </w:p>
        </w:tc>
      </w:tr>
      <w:tr w14:paraId="329BE23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942" w:type="dxa"/>
          </w:tcPr>
          <w:p w14:paraId="329BE238">
            <w:pPr>
              <w:spacing w:after="0" w:line="240" w:lineRule="auto"/>
              <w:rPr>
                <w:rFonts w:ascii="仿宋" w:hAnsi="仿宋" w:eastAsia="仿宋"/>
                <w:sz w:val="24"/>
              </w:rPr>
            </w:pPr>
            <w:r>
              <w:rPr>
                <w:rFonts w:ascii="仿宋" w:hAnsi="仿宋" w:eastAsia="仿宋"/>
                <w:sz w:val="24"/>
              </w:rPr>
              <w:t>CCF</w:t>
            </w:r>
            <w:r>
              <w:rPr>
                <w:rFonts w:hint="eastAsia" w:ascii="仿宋" w:hAnsi="仿宋" w:eastAsia="仿宋"/>
                <w:sz w:val="24"/>
              </w:rPr>
              <w:t xml:space="preserve"> B类</w:t>
            </w:r>
            <w:r>
              <w:rPr>
                <w:rFonts w:ascii="仿宋" w:hAnsi="仿宋" w:eastAsia="仿宋"/>
                <w:sz w:val="24"/>
              </w:rPr>
              <w:t>论文</w:t>
            </w:r>
            <w:r>
              <w:rPr>
                <w:rFonts w:hint="eastAsia" w:ascii="仿宋" w:hAnsi="仿宋" w:eastAsia="仿宋"/>
                <w:sz w:val="24"/>
              </w:rPr>
              <w:t>；</w:t>
            </w:r>
          </w:p>
          <w:p w14:paraId="329BE239">
            <w:pPr>
              <w:spacing w:after="0" w:line="240" w:lineRule="auto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 xml:space="preserve">SCI </w:t>
            </w:r>
            <w:r>
              <w:rPr>
                <w:rFonts w:ascii="仿宋" w:hAnsi="仿宋" w:eastAsia="仿宋"/>
                <w:sz w:val="24"/>
              </w:rPr>
              <w:t>JCR检索源期刊中</w:t>
            </w:r>
            <w:r>
              <w:rPr>
                <w:rFonts w:hint="eastAsia" w:ascii="仿宋" w:hAnsi="仿宋" w:eastAsia="仿宋"/>
                <w:sz w:val="24"/>
              </w:rPr>
              <w:t>二</w:t>
            </w:r>
            <w:r>
              <w:rPr>
                <w:rFonts w:ascii="仿宋" w:hAnsi="仿宋" w:eastAsia="仿宋"/>
                <w:sz w:val="24"/>
              </w:rPr>
              <w:t>区收录的论文</w:t>
            </w:r>
            <w:r>
              <w:rPr>
                <w:rFonts w:hint="eastAsia" w:ascii="仿宋" w:hAnsi="仿宋" w:eastAsia="仿宋"/>
                <w:sz w:val="24"/>
              </w:rPr>
              <w:t>；</w:t>
            </w:r>
          </w:p>
        </w:tc>
        <w:tc>
          <w:tcPr>
            <w:tcW w:w="1857" w:type="dxa"/>
          </w:tcPr>
          <w:p w14:paraId="329BE23B">
            <w:pPr>
              <w:spacing w:after="0" w:line="480" w:lineRule="auto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</w:t>
            </w:r>
          </w:p>
        </w:tc>
      </w:tr>
    </w:tbl>
    <w:p w14:paraId="329BE23D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</w:t>
      </w:r>
      <w:r>
        <w:rPr>
          <w:rFonts w:ascii="仿宋" w:hAnsi="仿宋" w:eastAsia="仿宋"/>
          <w:sz w:val="21"/>
          <w:szCs w:val="21"/>
        </w:rPr>
        <w:t>论文或著作仅以第一作者作为学术成果的加分条件；个人论著等同集体第一名；</w:t>
      </w:r>
    </w:p>
    <w:p w14:paraId="66721BDB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※共一按人数均分：如两位共一，按一作加分除</w:t>
      </w:r>
      <w:r>
        <w:rPr>
          <w:rFonts w:hint="eastAsia" w:ascii="仿宋" w:hAnsi="仿宋" w:eastAsia="仿宋"/>
          <w:sz w:val="21"/>
          <w:szCs w:val="21"/>
          <w:lang w:val="en-US" w:eastAsia="zh-CN"/>
        </w:rPr>
        <w:t>以</w:t>
      </w:r>
      <w:r>
        <w:rPr>
          <w:rFonts w:hint="eastAsia" w:ascii="仿宋" w:hAnsi="仿宋" w:eastAsia="仿宋"/>
          <w:sz w:val="21"/>
          <w:szCs w:val="21"/>
        </w:rPr>
        <w:t>二；三位共一则加分除</w:t>
      </w:r>
      <w:r>
        <w:rPr>
          <w:rFonts w:hint="eastAsia" w:ascii="仿宋" w:hAnsi="仿宋" w:eastAsia="仿宋"/>
          <w:sz w:val="21"/>
          <w:szCs w:val="21"/>
          <w:lang w:val="en-US" w:eastAsia="zh-CN"/>
        </w:rPr>
        <w:t>以</w:t>
      </w:r>
      <w:r>
        <w:rPr>
          <w:rFonts w:hint="eastAsia" w:ascii="仿宋" w:hAnsi="仿宋" w:eastAsia="仿宋"/>
          <w:sz w:val="21"/>
          <w:szCs w:val="21"/>
        </w:rPr>
        <w:t>三，依此类推；</w:t>
      </w:r>
    </w:p>
    <w:p w14:paraId="4CB44951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※上述会议加分针对</w:t>
      </w:r>
      <w:r>
        <w:rPr>
          <w:rFonts w:ascii="仿宋" w:hAnsi="仿宋" w:eastAsia="仿宋"/>
          <w:sz w:val="21"/>
          <w:szCs w:val="21"/>
        </w:rPr>
        <w:t>full paper，CCFA会议的short paper按照CCFB会议计分，会议伴随的workshop论文不计入统计，CCFB会议的short paper不计分</w:t>
      </w:r>
    </w:p>
    <w:p w14:paraId="329BE23E">
      <w:pPr>
        <w:rPr>
          <w:rFonts w:ascii="仿宋" w:hAnsi="仿宋" w:eastAsia="仿宋"/>
          <w:sz w:val="21"/>
          <w:szCs w:val="21"/>
        </w:rPr>
      </w:pPr>
    </w:p>
    <w:p w14:paraId="329BE23F">
      <w:pPr>
        <w:pStyle w:val="32"/>
        <w:numPr>
          <w:ilvl w:val="0"/>
          <w:numId w:val="1"/>
        </w:num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授权专利项目加分</w:t>
      </w:r>
    </w:p>
    <w:tbl>
      <w:tblPr>
        <w:tblStyle w:val="17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302"/>
        <w:gridCol w:w="3077"/>
      </w:tblGrid>
      <w:tr w14:paraId="329BE2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02" w:type="dxa"/>
          </w:tcPr>
          <w:p w14:paraId="329BE240">
            <w:pPr>
              <w:spacing w:after="0" w:line="240" w:lineRule="auto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类别</w:t>
            </w:r>
          </w:p>
        </w:tc>
        <w:tc>
          <w:tcPr>
            <w:tcW w:w="3077" w:type="dxa"/>
          </w:tcPr>
          <w:p w14:paraId="329BE241">
            <w:pPr>
              <w:spacing w:after="0" w:line="240" w:lineRule="auto"/>
              <w:jc w:val="center"/>
              <w:rPr>
                <w:rFonts w:ascii="仿宋" w:hAnsi="仿宋" w:eastAsia="仿宋"/>
                <w:b/>
                <w:bCs/>
                <w:sz w:val="24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</w:rPr>
              <w:t>排名第一或第二</w:t>
            </w:r>
          </w:p>
        </w:tc>
      </w:tr>
      <w:tr w14:paraId="329BE2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02" w:type="dxa"/>
          </w:tcPr>
          <w:p w14:paraId="329BE243">
            <w:pPr>
              <w:spacing w:after="0" w:line="240" w:lineRule="auto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发明专利</w:t>
            </w:r>
          </w:p>
        </w:tc>
        <w:tc>
          <w:tcPr>
            <w:tcW w:w="3077" w:type="dxa"/>
          </w:tcPr>
          <w:p w14:paraId="329BE244">
            <w:pPr>
              <w:spacing w:after="0" w:line="240" w:lineRule="auto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5</w:t>
            </w:r>
          </w:p>
        </w:tc>
      </w:tr>
      <w:tr w14:paraId="329BE2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02" w:type="dxa"/>
          </w:tcPr>
          <w:p w14:paraId="329BE246">
            <w:pPr>
              <w:spacing w:after="0" w:line="240" w:lineRule="auto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实用新型专利</w:t>
            </w:r>
          </w:p>
        </w:tc>
        <w:tc>
          <w:tcPr>
            <w:tcW w:w="3077" w:type="dxa"/>
          </w:tcPr>
          <w:p w14:paraId="329BE247">
            <w:pPr>
              <w:spacing w:after="0" w:line="240" w:lineRule="auto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3</w:t>
            </w:r>
          </w:p>
        </w:tc>
      </w:tr>
      <w:tr w14:paraId="329BE2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3302" w:type="dxa"/>
          </w:tcPr>
          <w:p w14:paraId="329BE249">
            <w:pPr>
              <w:spacing w:after="0" w:line="240" w:lineRule="auto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软件著作权</w:t>
            </w:r>
          </w:p>
        </w:tc>
        <w:tc>
          <w:tcPr>
            <w:tcW w:w="3077" w:type="dxa"/>
          </w:tcPr>
          <w:p w14:paraId="329BE24A">
            <w:pPr>
              <w:spacing w:after="0" w:line="240" w:lineRule="auto"/>
              <w:jc w:val="center"/>
              <w:rPr>
                <w:rFonts w:ascii="仿宋" w:hAnsi="仿宋" w:eastAsia="仿宋"/>
                <w:sz w:val="24"/>
              </w:rPr>
            </w:pPr>
            <w:r>
              <w:rPr>
                <w:rFonts w:hint="eastAsia" w:ascii="仿宋" w:hAnsi="仿宋" w:eastAsia="仿宋"/>
                <w:sz w:val="24"/>
              </w:rPr>
              <w:t>1</w:t>
            </w:r>
          </w:p>
        </w:tc>
      </w:tr>
    </w:tbl>
    <w:p w14:paraId="329BE24C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</w:t>
      </w:r>
      <w:r>
        <w:rPr>
          <w:rFonts w:ascii="仿宋" w:hAnsi="仿宋" w:eastAsia="仿宋"/>
          <w:sz w:val="21"/>
          <w:szCs w:val="21"/>
        </w:rPr>
        <w:t>专利项目获受理不予加分，获授权加分时间必须为当年（202</w:t>
      </w:r>
      <w:r>
        <w:rPr>
          <w:rFonts w:hint="eastAsia" w:ascii="仿宋" w:hAnsi="仿宋" w:eastAsia="仿宋"/>
          <w:sz w:val="21"/>
          <w:szCs w:val="21"/>
          <w:lang w:val="en-US" w:eastAsia="zh-CN"/>
        </w:rPr>
        <w:t>4</w:t>
      </w:r>
      <w:r>
        <w:rPr>
          <w:rFonts w:ascii="仿宋" w:hAnsi="仿宋" w:eastAsia="仿宋"/>
          <w:sz w:val="21"/>
          <w:szCs w:val="21"/>
        </w:rPr>
        <w:t>自然年</w:t>
      </w:r>
      <w:r>
        <w:rPr>
          <w:rFonts w:hint="eastAsia" w:ascii="仿宋" w:hAnsi="仿宋" w:eastAsia="仿宋"/>
          <w:sz w:val="21"/>
          <w:szCs w:val="21"/>
          <w:lang w:eastAsia="zh-CN"/>
        </w:rPr>
        <w:t>，</w:t>
      </w:r>
      <w:r>
        <w:rPr>
          <w:rFonts w:hint="eastAsia" w:ascii="仿宋" w:hAnsi="仿宋" w:eastAsia="仿宋"/>
          <w:sz w:val="21"/>
          <w:szCs w:val="21"/>
          <w:lang w:val="en-US" w:eastAsia="zh-CN"/>
        </w:rPr>
        <w:t>毕业生含25年</w:t>
      </w:r>
      <w:r>
        <w:rPr>
          <w:rFonts w:ascii="仿宋" w:hAnsi="仿宋" w:eastAsia="仿宋"/>
          <w:sz w:val="21"/>
          <w:szCs w:val="21"/>
        </w:rPr>
        <w:t>）</w:t>
      </w:r>
    </w:p>
    <w:p w14:paraId="329BE24D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</w:t>
      </w:r>
      <w:r>
        <w:rPr>
          <w:rFonts w:ascii="仿宋" w:hAnsi="仿宋" w:eastAsia="仿宋"/>
          <w:sz w:val="21"/>
          <w:szCs w:val="21"/>
        </w:rPr>
        <w:t>专利项目排名第一；或排名第二（导师为第一）的情况予以加分；其余情况不予加分</w:t>
      </w:r>
    </w:p>
    <w:p w14:paraId="329BE24E">
      <w:pPr>
        <w:widowControl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br w:type="page"/>
      </w:r>
    </w:p>
    <w:p w14:paraId="329BE24F">
      <w:pPr>
        <w:pStyle w:val="32"/>
        <w:numPr>
          <w:ilvl w:val="0"/>
          <w:numId w:val="1"/>
        </w:num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学科竞赛和科技竞赛获奖加分</w:t>
      </w:r>
    </w:p>
    <w:tbl>
      <w:tblPr>
        <w:tblStyle w:val="39"/>
        <w:tblW w:w="8379" w:type="dxa"/>
        <w:jc w:val="center"/>
        <w:tblBorders>
          <w:top w:val="single" w:color="231F20" w:sz="6" w:space="0"/>
          <w:left w:val="single" w:color="231F20" w:sz="6" w:space="0"/>
          <w:bottom w:val="single" w:color="231F20" w:sz="6" w:space="0"/>
          <w:right w:val="single" w:color="231F20" w:sz="6" w:space="0"/>
          <w:insideH w:val="single" w:color="231F20" w:sz="6" w:space="0"/>
          <w:insideV w:val="single" w:color="231F2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419"/>
        <w:gridCol w:w="1559"/>
        <w:gridCol w:w="1418"/>
        <w:gridCol w:w="803"/>
        <w:gridCol w:w="614"/>
        <w:gridCol w:w="1566"/>
      </w:tblGrid>
      <w:tr w14:paraId="329BE256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0" w:hRule="atLeast"/>
          <w:jc w:val="center"/>
        </w:trPr>
        <w:tc>
          <w:tcPr>
            <w:tcW w:w="2419" w:type="dxa"/>
            <w:vMerge w:val="restart"/>
            <w:tcBorders>
              <w:bottom w:val="single" w:color="231F20" w:sz="4" w:space="0"/>
              <w:right w:val="single" w:color="231F20" w:sz="4" w:space="0"/>
            </w:tcBorders>
            <w:vAlign w:val="center"/>
          </w:tcPr>
          <w:p w14:paraId="329BE250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</w:pPr>
            <w:r>
              <w:rPr>
                <w:rFonts w:hint="eastAsia"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  <w:t>竞赛</w:t>
            </w:r>
            <w:r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  <w:t>级别</w:t>
            </w:r>
          </w:p>
        </w:tc>
        <w:tc>
          <w:tcPr>
            <w:tcW w:w="1559" w:type="dxa"/>
            <w:vMerge w:val="restart"/>
            <w:tcBorders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1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  <w:t>获奖等级</w:t>
            </w:r>
          </w:p>
        </w:tc>
        <w:tc>
          <w:tcPr>
            <w:tcW w:w="1418" w:type="dxa"/>
            <w:tcBorders>
              <w:left w:val="single" w:color="231F20" w:sz="4" w:space="0"/>
              <w:bottom w:val="single" w:color="231F20" w:sz="4" w:space="0"/>
              <w:right w:val="nil"/>
            </w:tcBorders>
            <w:vAlign w:val="center"/>
          </w:tcPr>
          <w:p w14:paraId="329BE252">
            <w:pPr>
              <w:autoSpaceDE w:val="0"/>
              <w:autoSpaceDN w:val="0"/>
              <w:spacing w:after="0" w:line="240" w:lineRule="auto"/>
              <w:jc w:val="both"/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</w:pPr>
          </w:p>
        </w:tc>
        <w:tc>
          <w:tcPr>
            <w:tcW w:w="803" w:type="dxa"/>
            <w:tcBorders>
              <w:left w:val="nil"/>
              <w:bottom w:val="single" w:color="231F20" w:sz="4" w:space="0"/>
              <w:right w:val="nil"/>
            </w:tcBorders>
            <w:vAlign w:val="center"/>
          </w:tcPr>
          <w:p w14:paraId="329BE253">
            <w:pPr>
              <w:autoSpaceDE w:val="0"/>
              <w:autoSpaceDN w:val="0"/>
              <w:spacing w:after="0" w:line="240" w:lineRule="auto"/>
              <w:jc w:val="both"/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  <w:t>加</w:t>
            </w:r>
          </w:p>
        </w:tc>
        <w:tc>
          <w:tcPr>
            <w:tcW w:w="614" w:type="dxa"/>
            <w:tcBorders>
              <w:left w:val="nil"/>
              <w:bottom w:val="single" w:color="231F20" w:sz="4" w:space="0"/>
              <w:right w:val="nil"/>
            </w:tcBorders>
            <w:vAlign w:val="center"/>
          </w:tcPr>
          <w:p w14:paraId="329BE254">
            <w:pPr>
              <w:autoSpaceDE w:val="0"/>
              <w:autoSpaceDN w:val="0"/>
              <w:spacing w:after="0" w:line="240" w:lineRule="auto"/>
              <w:jc w:val="both"/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  <w:t>分</w:t>
            </w:r>
          </w:p>
        </w:tc>
        <w:tc>
          <w:tcPr>
            <w:tcW w:w="1566" w:type="dxa"/>
            <w:tcBorders>
              <w:left w:val="nil"/>
              <w:bottom w:val="single" w:color="231F20" w:sz="4" w:space="0"/>
            </w:tcBorders>
            <w:vAlign w:val="center"/>
          </w:tcPr>
          <w:p w14:paraId="329BE255">
            <w:pPr>
              <w:autoSpaceDE w:val="0"/>
              <w:autoSpaceDN w:val="0"/>
              <w:spacing w:after="0" w:line="240" w:lineRule="auto"/>
              <w:jc w:val="both"/>
              <w:rPr>
                <w:rFonts w:ascii="仿宋" w:hAnsi="仿宋" w:eastAsia="仿宋"/>
                <w:b/>
                <w:bCs/>
                <w:kern w:val="0"/>
                <w:sz w:val="24"/>
                <w:lang w:eastAsia="en-US"/>
                <w14:ligatures w14:val="none"/>
              </w:rPr>
            </w:pPr>
          </w:p>
        </w:tc>
      </w:tr>
      <w:tr w14:paraId="329BE25C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02" w:hRule="atLeast"/>
          <w:jc w:val="center"/>
        </w:trPr>
        <w:tc>
          <w:tcPr>
            <w:tcW w:w="2419" w:type="dxa"/>
            <w:vMerge w:val="continue"/>
            <w:tcBorders>
              <w:top w:val="nil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7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vMerge w:val="continue"/>
            <w:tcBorders>
              <w:top w:val="nil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8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418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9">
            <w:pPr>
              <w:pStyle w:val="40"/>
              <w:autoSpaceDE/>
              <w:autoSpaceDN/>
              <w:spacing w:before="143"/>
              <w:ind w:right="160"/>
              <w:jc w:val="left"/>
              <w:rPr>
                <w:rFonts w:ascii="仿宋" w:hAnsi="仿宋" w:eastAsia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负责人（团队排名一）</w:t>
            </w:r>
          </w:p>
        </w:tc>
        <w:tc>
          <w:tcPr>
            <w:tcW w:w="1417" w:type="dxa"/>
            <w:gridSpan w:val="2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A">
            <w:pPr>
              <w:pStyle w:val="40"/>
              <w:autoSpaceDE/>
              <w:autoSpaceDN/>
              <w:spacing w:before="143"/>
              <w:ind w:right="304"/>
              <w:jc w:val="left"/>
              <w:rPr>
                <w:rFonts w:ascii="仿宋" w:hAnsi="仿宋" w:eastAsia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主要成员（团队排名二、三）</w:t>
            </w:r>
          </w:p>
        </w:tc>
        <w:tc>
          <w:tcPr>
            <w:tcW w:w="1566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  <w:vAlign w:val="center"/>
          </w:tcPr>
          <w:p w14:paraId="329BE25B">
            <w:pPr>
              <w:pStyle w:val="40"/>
              <w:autoSpaceDE/>
              <w:autoSpaceDN/>
              <w:spacing w:before="143"/>
              <w:jc w:val="left"/>
              <w:rPr>
                <w:rFonts w:ascii="仿宋" w:hAnsi="仿宋" w:eastAsia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1"/>
                <w:szCs w:val="21"/>
                <w:lang w:eastAsia="zh-CN"/>
                <w14:ligatures w14:val="standardContextual"/>
              </w:rPr>
              <w:t>一般成员（团队排名四及以后）</w:t>
            </w:r>
          </w:p>
        </w:tc>
      </w:tr>
      <w:tr w14:paraId="329BE262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restart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D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  <w:r>
              <w:rPr>
                <w:rFonts w:ascii="仿宋" w:hAnsi="仿宋" w:eastAsia="仿宋"/>
                <w:sz w:val="24"/>
                <w:lang w:eastAsia="en-US"/>
              </w:rPr>
              <w:t>国际学科和科技竞赛</w:t>
            </w:r>
          </w:p>
        </w:tc>
        <w:tc>
          <w:tcPr>
            <w:tcW w:w="1559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E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5F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8</w:t>
            </w:r>
          </w:p>
        </w:tc>
        <w:tc>
          <w:tcPr>
            <w:tcW w:w="1417" w:type="dxa"/>
            <w:gridSpan w:val="2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0">
            <w:pPr>
              <w:pStyle w:val="40"/>
              <w:autoSpaceDE/>
              <w:autoSpaceDN/>
              <w:ind w:left="11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6</w:t>
            </w:r>
          </w:p>
        </w:tc>
        <w:tc>
          <w:tcPr>
            <w:tcW w:w="1566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  <w:vAlign w:val="center"/>
          </w:tcPr>
          <w:p w14:paraId="329BE261">
            <w:pPr>
              <w:pStyle w:val="40"/>
              <w:autoSpaceDE/>
              <w:autoSpaceDN/>
              <w:ind w:left="9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</w:tr>
      <w:tr w14:paraId="329BE268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top w:val="nil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3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4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5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6</w:t>
            </w:r>
          </w:p>
        </w:tc>
        <w:tc>
          <w:tcPr>
            <w:tcW w:w="1417" w:type="dxa"/>
            <w:gridSpan w:val="2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6">
            <w:pPr>
              <w:pStyle w:val="40"/>
              <w:autoSpaceDE/>
              <w:autoSpaceDN/>
              <w:ind w:left="11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566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  <w:vAlign w:val="center"/>
          </w:tcPr>
          <w:p w14:paraId="329BE267">
            <w:pPr>
              <w:pStyle w:val="40"/>
              <w:autoSpaceDE/>
              <w:autoSpaceDN/>
              <w:ind w:left="9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4</w:t>
            </w:r>
          </w:p>
        </w:tc>
      </w:tr>
      <w:tr w14:paraId="329BE26E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top w:val="nil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9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A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第3</w:t>
            </w:r>
            <w:r>
              <w:rPr>
                <w:rFonts w:hint="eastAsia" w:ascii="仿宋" w:hAnsi="仿宋" w:eastAsia="仿宋"/>
                <w:kern w:val="0"/>
                <w:sz w:val="24"/>
                <w:lang w:eastAsia="en-US"/>
                <w14:ligatures w14:val="none"/>
              </w:rPr>
              <w:t>/</w:t>
            </w: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B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6C">
            <w:pPr>
              <w:pStyle w:val="40"/>
              <w:autoSpaceDE/>
              <w:autoSpaceDN/>
              <w:ind w:left="11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4</w:t>
            </w:r>
          </w:p>
        </w:tc>
        <w:tc>
          <w:tcPr>
            <w:tcW w:w="1566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  <w:vAlign w:val="center"/>
          </w:tcPr>
          <w:p w14:paraId="329BE26D">
            <w:pPr>
              <w:pStyle w:val="40"/>
              <w:autoSpaceDE/>
              <w:autoSpaceDN/>
              <w:ind w:left="9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</w:tr>
      <w:tr w14:paraId="329BE274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restart"/>
            <w:tcBorders>
              <w:top w:val="single" w:color="231F20" w:sz="4" w:space="0"/>
              <w:right w:val="single" w:color="231F20" w:sz="4" w:space="0"/>
            </w:tcBorders>
            <w:vAlign w:val="center"/>
          </w:tcPr>
          <w:p w14:paraId="329BE26F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  <w:r>
              <w:rPr>
                <w:rFonts w:ascii="仿宋" w:hAnsi="仿宋" w:eastAsia="仿宋"/>
                <w:sz w:val="24"/>
                <w:lang w:eastAsia="en-US"/>
              </w:rPr>
              <w:t>国家学科和科技竞赛</w:t>
            </w:r>
          </w:p>
        </w:tc>
        <w:tc>
          <w:tcPr>
            <w:tcW w:w="1559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70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71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6</w:t>
            </w:r>
          </w:p>
        </w:tc>
        <w:tc>
          <w:tcPr>
            <w:tcW w:w="1417" w:type="dxa"/>
            <w:gridSpan w:val="2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72">
            <w:pPr>
              <w:pStyle w:val="40"/>
              <w:autoSpaceDE/>
              <w:autoSpaceDN/>
              <w:ind w:left="315" w:right="304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4.5</w:t>
            </w:r>
          </w:p>
        </w:tc>
        <w:tc>
          <w:tcPr>
            <w:tcW w:w="1566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  <w:vAlign w:val="center"/>
          </w:tcPr>
          <w:p w14:paraId="329BE273">
            <w:pPr>
              <w:pStyle w:val="40"/>
              <w:autoSpaceDE/>
              <w:autoSpaceDN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3.5</w:t>
            </w:r>
          </w:p>
        </w:tc>
      </w:tr>
      <w:tr w14:paraId="329BE27A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right w:val="single" w:color="231F20" w:sz="4" w:space="0"/>
            </w:tcBorders>
            <w:vAlign w:val="center"/>
          </w:tcPr>
          <w:p w14:paraId="329BE275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76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77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color="231F20" w:sz="4" w:space="0"/>
              <w:left w:val="single" w:color="231F20" w:sz="4" w:space="0"/>
              <w:bottom w:val="single" w:color="231F20" w:sz="4" w:space="0"/>
              <w:right w:val="single" w:color="231F20" w:sz="4" w:space="0"/>
            </w:tcBorders>
            <w:vAlign w:val="center"/>
          </w:tcPr>
          <w:p w14:paraId="329BE278">
            <w:pPr>
              <w:pStyle w:val="40"/>
              <w:autoSpaceDE/>
              <w:autoSpaceDN/>
              <w:ind w:left="315" w:right="304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3.5</w:t>
            </w:r>
          </w:p>
        </w:tc>
        <w:tc>
          <w:tcPr>
            <w:tcW w:w="1566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  <w:vAlign w:val="center"/>
          </w:tcPr>
          <w:p w14:paraId="329BE279">
            <w:pPr>
              <w:pStyle w:val="40"/>
              <w:autoSpaceDE/>
              <w:autoSpaceDN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2.5</w:t>
            </w:r>
          </w:p>
        </w:tc>
      </w:tr>
      <w:tr w14:paraId="329BE280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bottom w:val="single" w:color="auto" w:sz="4" w:space="0"/>
              <w:right w:val="single" w:color="231F20" w:sz="4" w:space="0"/>
            </w:tcBorders>
            <w:vAlign w:val="center"/>
          </w:tcPr>
          <w:p w14:paraId="329BE27B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231F20" w:sz="4" w:space="0"/>
              <w:left w:val="single" w:color="231F20" w:sz="4" w:space="0"/>
              <w:bottom w:val="single" w:color="auto" w:sz="4" w:space="0"/>
              <w:right w:val="single" w:color="231F20" w:sz="4" w:space="0"/>
            </w:tcBorders>
            <w:vAlign w:val="center"/>
          </w:tcPr>
          <w:p w14:paraId="329BE27C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第3</w:t>
            </w:r>
            <w:r>
              <w:rPr>
                <w:rFonts w:hint="eastAsia" w:ascii="仿宋" w:hAnsi="仿宋" w:eastAsia="仿宋"/>
                <w:kern w:val="0"/>
                <w:sz w:val="24"/>
                <w:lang w:eastAsia="en-US"/>
                <w14:ligatures w14:val="none"/>
              </w:rPr>
              <w:t>/</w:t>
            </w: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color="231F20" w:sz="4" w:space="0"/>
              <w:left w:val="single" w:color="231F20" w:sz="4" w:space="0"/>
              <w:bottom w:val="single" w:color="auto" w:sz="4" w:space="0"/>
              <w:right w:val="single" w:color="231F20" w:sz="4" w:space="0"/>
            </w:tcBorders>
            <w:vAlign w:val="center"/>
          </w:tcPr>
          <w:p w14:paraId="329BE27D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color="231F20" w:sz="4" w:space="0"/>
              <w:left w:val="single" w:color="231F20" w:sz="4" w:space="0"/>
              <w:bottom w:val="single" w:color="auto" w:sz="4" w:space="0"/>
              <w:right w:val="single" w:color="231F20" w:sz="4" w:space="0"/>
            </w:tcBorders>
            <w:vAlign w:val="center"/>
          </w:tcPr>
          <w:p w14:paraId="329BE27E">
            <w:pPr>
              <w:pStyle w:val="40"/>
              <w:autoSpaceDE/>
              <w:autoSpaceDN/>
              <w:ind w:left="315" w:right="304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2.5</w:t>
            </w:r>
          </w:p>
        </w:tc>
        <w:tc>
          <w:tcPr>
            <w:tcW w:w="1566" w:type="dxa"/>
            <w:tcBorders>
              <w:top w:val="single" w:color="231F20" w:sz="4" w:space="0"/>
              <w:left w:val="single" w:color="231F20" w:sz="4" w:space="0"/>
              <w:bottom w:val="single" w:color="auto" w:sz="4" w:space="0"/>
            </w:tcBorders>
            <w:vAlign w:val="center"/>
          </w:tcPr>
          <w:p w14:paraId="329BE27F">
            <w:pPr>
              <w:pStyle w:val="40"/>
              <w:autoSpaceDE/>
              <w:autoSpaceDN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</w:tr>
      <w:tr w14:paraId="329BE286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1" w:hRule="atLeast"/>
          <w:jc w:val="center"/>
        </w:trPr>
        <w:tc>
          <w:tcPr>
            <w:tcW w:w="241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29BE281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  <w:r>
              <w:rPr>
                <w:rFonts w:ascii="仿宋" w:hAnsi="仿宋" w:eastAsia="仿宋"/>
                <w:sz w:val="24"/>
                <w:lang w:eastAsia="en-US"/>
              </w:rPr>
              <w:t>省级学科和科技竞赛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2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3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5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4">
            <w:pPr>
              <w:pStyle w:val="40"/>
              <w:autoSpaceDE/>
              <w:autoSpaceDN/>
              <w:ind w:left="315" w:right="304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3.5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5">
            <w:pPr>
              <w:pStyle w:val="40"/>
              <w:autoSpaceDE/>
              <w:autoSpaceDN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</w:tr>
      <w:tr w14:paraId="329BE28C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2" w:hRule="atLeast"/>
          <w:jc w:val="center"/>
        </w:trPr>
        <w:tc>
          <w:tcPr>
            <w:tcW w:w="241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29BE287">
            <w:pPr>
              <w:autoSpaceDE/>
              <w:autoSpaceDN/>
              <w:spacing w:after="0" w:line="240" w:lineRule="auto"/>
              <w:jc w:val="both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8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9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A">
            <w:pPr>
              <w:pStyle w:val="40"/>
              <w:autoSpaceDE/>
              <w:autoSpaceDN/>
              <w:ind w:left="315" w:right="304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B">
            <w:pPr>
              <w:pStyle w:val="40"/>
              <w:autoSpaceDE/>
              <w:autoSpaceDN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</w:tr>
      <w:tr w14:paraId="329BE292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D">
            <w:pPr>
              <w:autoSpaceDE/>
              <w:autoSpaceDN/>
              <w:spacing w:after="0" w:line="240" w:lineRule="auto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E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第3</w:t>
            </w:r>
            <w:r>
              <w:rPr>
                <w:rFonts w:hint="eastAsia" w:ascii="仿宋" w:hAnsi="仿宋" w:eastAsia="仿宋"/>
                <w:kern w:val="0"/>
                <w:sz w:val="24"/>
                <w:lang w:eastAsia="en-US"/>
                <w14:ligatures w14:val="none"/>
              </w:rPr>
              <w:t>/</w:t>
            </w: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8F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0">
            <w:pPr>
              <w:pStyle w:val="40"/>
              <w:autoSpaceDE/>
              <w:autoSpaceDN/>
              <w:ind w:left="315" w:right="304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1">
            <w:pPr>
              <w:pStyle w:val="40"/>
              <w:autoSpaceDE/>
              <w:autoSpaceDN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</w:t>
            </w:r>
          </w:p>
        </w:tc>
      </w:tr>
      <w:tr w14:paraId="329BE298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29BE293">
            <w:pPr>
              <w:autoSpaceDE/>
              <w:autoSpaceDN/>
              <w:spacing w:after="0" w:line="240" w:lineRule="auto"/>
              <w:rPr>
                <w:rFonts w:ascii="仿宋" w:hAnsi="仿宋" w:eastAsia="仿宋"/>
                <w:sz w:val="24"/>
                <w:lang w:eastAsia="en-US"/>
              </w:rPr>
            </w:pPr>
            <w:r>
              <w:rPr>
                <w:rFonts w:ascii="仿宋" w:hAnsi="仿宋" w:eastAsia="仿宋"/>
                <w:sz w:val="24"/>
                <w:lang w:eastAsia="en-US"/>
              </w:rPr>
              <w:t>校级学科和科技竞赛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4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5">
            <w:pPr>
              <w:pStyle w:val="40"/>
              <w:autoSpaceDE/>
              <w:autoSpaceDN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3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6">
            <w:pPr>
              <w:pStyle w:val="40"/>
              <w:autoSpaceDE/>
              <w:autoSpaceDN/>
              <w:ind w:left="315" w:right="304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2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7">
            <w:pPr>
              <w:pStyle w:val="40"/>
              <w:autoSpaceDE/>
              <w:autoSpaceDN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hint="eastAsia"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</w:tr>
      <w:tr w14:paraId="329BE29E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 w14:paraId="329BE299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A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第2名/等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B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2</w:t>
            </w:r>
          </w:p>
        </w:tc>
        <w:tc>
          <w:tcPr>
            <w:tcW w:w="141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C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1.5</w:t>
            </w:r>
          </w:p>
        </w:tc>
        <w:tc>
          <w:tcPr>
            <w:tcW w:w="156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D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1</w:t>
            </w:r>
          </w:p>
        </w:tc>
      </w:tr>
      <w:tr w14:paraId="329BE2A3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9F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0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第3</w:t>
            </w:r>
            <w:r>
              <w:rPr>
                <w:rFonts w:hint="eastAsia" w:ascii="仿宋" w:hAnsi="仿宋" w:eastAsia="仿宋"/>
                <w:kern w:val="0"/>
                <w:sz w:val="24"/>
                <w:lang w:eastAsia="en-US"/>
                <w14:ligatures w14:val="none"/>
              </w:rPr>
              <w:t>/</w:t>
            </w: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4名/等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1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1</w:t>
            </w:r>
          </w:p>
        </w:tc>
        <w:tc>
          <w:tcPr>
            <w:tcW w:w="29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2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0.5</w:t>
            </w:r>
          </w:p>
        </w:tc>
      </w:tr>
      <w:tr w14:paraId="329BE2A8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 w14:paraId="329BE2A4">
            <w:pPr>
              <w:autoSpaceDE/>
              <w:autoSpaceDN/>
              <w:spacing w:after="0" w:line="240" w:lineRule="auto"/>
              <w:rPr>
                <w:rFonts w:ascii="仿宋" w:hAnsi="仿宋" w:eastAsia="仿宋"/>
                <w:sz w:val="24"/>
                <w:lang w:eastAsia="en-US"/>
              </w:rPr>
            </w:pPr>
            <w:r>
              <w:rPr>
                <w:rFonts w:ascii="仿宋" w:hAnsi="仿宋" w:eastAsia="仿宋"/>
                <w:sz w:val="24"/>
                <w:lang w:eastAsia="en-US"/>
              </w:rPr>
              <w:t>院级学科和科技竞赛</w:t>
            </w: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5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第1名/等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6">
            <w:pPr>
              <w:pStyle w:val="40"/>
              <w:autoSpaceDE/>
              <w:autoSpaceDN/>
              <w:spacing w:before="0"/>
              <w:ind w:left="13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1.5</w:t>
            </w:r>
          </w:p>
        </w:tc>
        <w:tc>
          <w:tcPr>
            <w:tcW w:w="298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7">
            <w:pPr>
              <w:pStyle w:val="40"/>
              <w:autoSpaceDE/>
              <w:autoSpaceDN/>
              <w:spacing w:before="0"/>
              <w:ind w:left="555" w:right="546"/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</w:pPr>
            <w:r>
              <w:rPr>
                <w:rFonts w:ascii="仿宋" w:hAnsi="仿宋" w:eastAsia="仿宋" w:cstheme="minorBidi"/>
                <w:kern w:val="2"/>
                <w:sz w:val="24"/>
                <w:szCs w:val="24"/>
                <w:lang w:eastAsia="zh-CN"/>
                <w14:ligatures w14:val="standardContextual"/>
              </w:rPr>
              <w:t>1</w:t>
            </w:r>
          </w:p>
        </w:tc>
      </w:tr>
      <w:tr w14:paraId="329BE2AC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  <w:jc w:val="center"/>
        </w:trPr>
        <w:tc>
          <w:tcPr>
            <w:tcW w:w="241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9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sz w:val="24"/>
                <w:lang w:eastAsia="en-US"/>
              </w:rPr>
            </w:pPr>
          </w:p>
        </w:tc>
        <w:tc>
          <w:tcPr>
            <w:tcW w:w="15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A">
            <w:pPr>
              <w:autoSpaceDE w:val="0"/>
              <w:autoSpaceDN w:val="0"/>
              <w:spacing w:after="0" w:line="240" w:lineRule="auto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第2</w:t>
            </w:r>
            <w:r>
              <w:rPr>
                <w:rFonts w:hint="eastAsia" w:ascii="仿宋" w:hAnsi="仿宋" w:eastAsia="仿宋"/>
                <w:kern w:val="0"/>
                <w:sz w:val="24"/>
                <w:lang w:eastAsia="en-US"/>
                <w14:ligatures w14:val="none"/>
              </w:rPr>
              <w:t>~</w:t>
            </w: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4名/等</w:t>
            </w:r>
          </w:p>
        </w:tc>
        <w:tc>
          <w:tcPr>
            <w:tcW w:w="440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9BE2AB">
            <w:pPr>
              <w:autoSpaceDE w:val="0"/>
              <w:autoSpaceDN w:val="0"/>
              <w:spacing w:after="0" w:line="240" w:lineRule="auto"/>
              <w:jc w:val="center"/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</w:pPr>
            <w:r>
              <w:rPr>
                <w:rFonts w:ascii="仿宋" w:hAnsi="仿宋" w:eastAsia="仿宋"/>
                <w:kern w:val="0"/>
                <w:sz w:val="24"/>
                <w:lang w:eastAsia="en-US"/>
                <w14:ligatures w14:val="none"/>
              </w:rPr>
              <w:t>0.5</w:t>
            </w:r>
          </w:p>
        </w:tc>
      </w:tr>
    </w:tbl>
    <w:p w14:paraId="7B1B8ADE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</w:t>
      </w:r>
      <w:r>
        <w:rPr>
          <w:rFonts w:ascii="仿宋" w:hAnsi="仿宋" w:eastAsia="仿宋"/>
          <w:sz w:val="21"/>
          <w:szCs w:val="21"/>
        </w:rPr>
        <w:t>以同一项目参加不同级别的学科竞赛和科技竞赛取最高得分</w:t>
      </w:r>
    </w:p>
    <w:p w14:paraId="6AAB6D10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</w:t>
      </w:r>
      <w:r>
        <w:rPr>
          <w:rFonts w:ascii="仿宋" w:hAnsi="仿宋" w:eastAsia="仿宋"/>
          <w:sz w:val="21"/>
          <w:szCs w:val="21"/>
        </w:rPr>
        <w:t>系列学科竞赛和科技竞赛的级别认定见附表1，其他未列明的由学院评审组认定</w:t>
      </w:r>
    </w:p>
    <w:p w14:paraId="4D83E6BD">
      <w:pPr>
        <w:rPr>
          <w:rFonts w:ascii="仿宋" w:hAnsi="仿宋" w:eastAsia="仿宋"/>
          <w:sz w:val="21"/>
          <w:szCs w:val="21"/>
        </w:rPr>
      </w:pPr>
      <w:r>
        <w:rPr>
          <w:rFonts w:hint="eastAsia" w:ascii="仿宋" w:hAnsi="仿宋" w:eastAsia="仿宋"/>
          <w:sz w:val="21"/>
          <w:szCs w:val="21"/>
        </w:rPr>
        <w:t>※</w:t>
      </w:r>
      <w:r>
        <w:rPr>
          <w:rFonts w:ascii="仿宋" w:hAnsi="仿宋" w:eastAsia="仿宋"/>
          <w:sz w:val="21"/>
          <w:szCs w:val="21"/>
        </w:rPr>
        <w:t>美赛特等奖（O）按国际赛第1名加8分；</w:t>
      </w:r>
      <w:r>
        <w:rPr>
          <w:rFonts w:hint="eastAsia" w:ascii="仿宋" w:hAnsi="仿宋" w:eastAsia="仿宋"/>
          <w:sz w:val="21"/>
          <w:szCs w:val="21"/>
        </w:rPr>
        <w:t>特等提名（</w:t>
      </w:r>
      <w:r>
        <w:rPr>
          <w:rFonts w:ascii="仿宋" w:hAnsi="仿宋" w:eastAsia="仿宋"/>
          <w:sz w:val="21"/>
          <w:szCs w:val="21"/>
        </w:rPr>
        <w:t>F）按国际赛第2名加6分；</w:t>
      </w:r>
    </w:p>
    <w:p w14:paraId="5837B807">
      <w:pPr>
        <w:rPr>
          <w:rFonts w:ascii="仿宋" w:hAnsi="仿宋" w:eastAsia="仿宋"/>
          <w:sz w:val="21"/>
          <w:szCs w:val="21"/>
        </w:rPr>
      </w:pPr>
      <w:r>
        <w:rPr>
          <w:rFonts w:ascii="仿宋" w:hAnsi="仿宋" w:eastAsia="仿宋"/>
          <w:sz w:val="21"/>
          <w:szCs w:val="21"/>
        </w:rPr>
        <w:t>一等奖（M）按国际赛第3名加5分；</w:t>
      </w:r>
      <w:r>
        <w:rPr>
          <w:rFonts w:hint="eastAsia" w:ascii="仿宋" w:hAnsi="仿宋" w:eastAsia="仿宋"/>
          <w:sz w:val="21"/>
          <w:szCs w:val="21"/>
        </w:rPr>
        <w:t>二等奖（</w:t>
      </w:r>
      <w:r>
        <w:rPr>
          <w:rFonts w:ascii="仿宋" w:hAnsi="仿宋" w:eastAsia="仿宋"/>
          <w:sz w:val="21"/>
          <w:szCs w:val="21"/>
        </w:rPr>
        <w:t>H）按国际赛第4名加3分</w:t>
      </w:r>
      <w:r>
        <w:rPr>
          <w:rFonts w:hint="eastAsia" w:ascii="仿宋" w:hAnsi="仿宋" w:eastAsia="仿宋"/>
          <w:sz w:val="21"/>
          <w:szCs w:val="21"/>
        </w:rPr>
        <w:t>；</w:t>
      </w:r>
    </w:p>
    <w:p w14:paraId="6C9BB670">
      <w:pPr>
        <w:rPr>
          <w:rFonts w:ascii="仿宋" w:hAnsi="仿宋" w:eastAsia="仿宋"/>
          <w:sz w:val="21"/>
          <w:szCs w:val="21"/>
        </w:rPr>
      </w:pPr>
      <w:r>
        <w:rPr>
          <w:rFonts w:ascii="仿宋" w:hAnsi="仿宋" w:eastAsia="仿宋"/>
          <w:sz w:val="21"/>
          <w:szCs w:val="21"/>
        </w:rPr>
        <w:t>三等奖（S）加1分</w:t>
      </w:r>
    </w:p>
    <w:p w14:paraId="329BE2AD">
      <w:pPr>
        <w:rPr>
          <w:rFonts w:ascii="仿宋" w:hAnsi="仿宋" w:eastAsia="仿宋"/>
          <w:sz w:val="32"/>
          <w:szCs w:val="32"/>
        </w:rPr>
      </w:pPr>
    </w:p>
    <w:p w14:paraId="329BE2AE">
      <w:pPr>
        <w:widowControl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br w:type="page"/>
      </w:r>
    </w:p>
    <w:p w14:paraId="329BE2AF">
      <w:pPr>
        <w:pStyle w:val="32"/>
        <w:numPr>
          <w:ilvl w:val="0"/>
          <w:numId w:val="1"/>
        </w:numPr>
        <w:rPr>
          <w:rFonts w:ascii="仿宋" w:hAnsi="仿宋" w:eastAsia="仿宋"/>
          <w:b/>
          <w:bCs/>
          <w:sz w:val="32"/>
          <w:szCs w:val="32"/>
        </w:rPr>
      </w:pPr>
      <w:r>
        <w:rPr>
          <w:rFonts w:hint="eastAsia" w:ascii="仿宋" w:hAnsi="仿宋" w:eastAsia="仿宋"/>
          <w:b/>
          <w:bCs/>
          <w:sz w:val="32"/>
          <w:szCs w:val="32"/>
        </w:rPr>
        <w:t>附表.学科竞赛级别认定参考列表</w:t>
      </w:r>
    </w:p>
    <w:tbl>
      <w:tblPr>
        <w:tblStyle w:val="39"/>
        <w:tblW w:w="8360" w:type="dxa"/>
        <w:tblInd w:w="125" w:type="dxa"/>
        <w:tblBorders>
          <w:top w:val="single" w:color="231F20" w:sz="6" w:space="0"/>
          <w:left w:val="single" w:color="231F20" w:sz="6" w:space="0"/>
          <w:bottom w:val="single" w:color="231F20" w:sz="6" w:space="0"/>
          <w:right w:val="single" w:color="231F20" w:sz="6" w:space="0"/>
          <w:insideH w:val="single" w:color="231F20" w:sz="6" w:space="0"/>
          <w:insideV w:val="single" w:color="231F2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850"/>
        <w:gridCol w:w="1510"/>
      </w:tblGrid>
      <w:tr w14:paraId="329BE2B2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B0">
            <w:pPr>
              <w:pStyle w:val="40"/>
              <w:spacing w:before="0" w:line="382" w:lineRule="exac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  <w:lang w:eastAsia="zh-CN"/>
              </w:rPr>
              <w:t>竞赛名称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B1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  <w:lang w:eastAsia="zh-CN"/>
              </w:rPr>
              <w:t>级别</w:t>
            </w:r>
          </w:p>
        </w:tc>
      </w:tr>
      <w:tr w14:paraId="329BE2B5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B3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ACM国际大学生程序设计竞赛（ACM–ICPC）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B4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国际级</w:t>
            </w:r>
          </w:p>
        </w:tc>
      </w:tr>
      <w:tr w14:paraId="329BE2B8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B6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美国数学建模竞赛暨交叉学科数学建模竞赛（MCM/ICM）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B7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国际级</w:t>
            </w:r>
          </w:p>
        </w:tc>
      </w:tr>
      <w:tr w14:paraId="329BE2BB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B9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中国国际太阳能十项全能竞赛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BA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国际级</w:t>
            </w:r>
          </w:p>
        </w:tc>
      </w:tr>
      <w:tr w14:paraId="329BE2BE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BC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国际遗传工程机器大赛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BD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国际级</w:t>
            </w:r>
          </w:p>
        </w:tc>
      </w:tr>
      <w:tr w14:paraId="329BE2C1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BF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Jessup 国际模拟法庭竞赛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C0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国际级</w:t>
            </w:r>
          </w:p>
        </w:tc>
      </w:tr>
      <w:tr w14:paraId="329BE2C4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C2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中国国际“互联网+”大学生创新创业大赛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C3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C7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C5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“挑战杯”全国大学生课外学术科技作品竞赛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C6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CA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C8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“创青春”全国大学生创业大赛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C9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CD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CB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全国高校软件建筑信息模型大赛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CC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D0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0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CE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IBM 大型主机技术全国应用大赛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CF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D3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D1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全国大学生化工设计创业大赛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D2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D6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D4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全国大学生机器人大赛RoboMaster机甲大师赛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D5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D9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D7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全国大学生电子商务“创新 创意 创业”挑战赛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D8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DC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DA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全国大学生电子设计竞赛（含嵌入式系统专题赛）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DB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DF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DD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全国大学生工程训练综合能力竞赛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DE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E2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E0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全国大学生光电设计大赛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E1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E5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E3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全国大学生广告艺术大赛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E4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E8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E6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全国大学生过程装备实践与创新大赛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E7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EB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E9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全国大学生化学实验竞赛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EA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EE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EC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全国大学生混凝土材料设计大赛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ED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F1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EF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全国大学生机械产品数字化设计大赛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F0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F4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231F20" w:sz="4" w:space="0"/>
              <w:right w:val="single" w:color="231F20" w:sz="4" w:space="0"/>
            </w:tcBorders>
          </w:tcPr>
          <w:p w14:paraId="329BE2F2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全国大学生机械创新设计大赛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231F20" w:sz="4" w:space="0"/>
            </w:tcBorders>
          </w:tcPr>
          <w:p w14:paraId="329BE2F3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F7">
        <w:tblPrEx>
          <w:tblBorders>
            <w:top w:val="single" w:color="231F20" w:sz="6" w:space="0"/>
            <w:left w:val="single" w:color="231F20" w:sz="6" w:space="0"/>
            <w:bottom w:val="single" w:color="231F20" w:sz="6" w:space="0"/>
            <w:right w:val="single" w:color="231F20" w:sz="6" w:space="0"/>
            <w:insideH w:val="single" w:color="231F20" w:sz="6" w:space="0"/>
            <w:insideV w:val="single" w:color="231F2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231F20" w:sz="4" w:space="0"/>
              <w:bottom w:val="single" w:color="auto" w:sz="4" w:space="0"/>
              <w:right w:val="single" w:color="231F20" w:sz="4" w:space="0"/>
            </w:tcBorders>
          </w:tcPr>
          <w:p w14:paraId="329BE2F5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全国大学生交通科技大赛</w:t>
            </w:r>
          </w:p>
        </w:tc>
        <w:tc>
          <w:tcPr>
            <w:tcW w:w="1510" w:type="dxa"/>
            <w:tcBorders>
              <w:top w:val="single" w:color="231F20" w:sz="4" w:space="0"/>
              <w:left w:val="single" w:color="231F20" w:sz="4" w:space="0"/>
              <w:bottom w:val="single" w:color="auto" w:sz="4" w:space="0"/>
            </w:tcBorders>
          </w:tcPr>
          <w:p w14:paraId="329BE2F6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2F8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全国大学生节能减排社会实践与科技竞赛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2F9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2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2FB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全国大学生结构设计竞赛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2FC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2FE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全国大学生控制仿真挑战赛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2FF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1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全国大学生软件创新大赛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2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4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全国大学生数学建模竞赛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5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7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全国大学生数学竞赛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8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A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全国大学生物理实验竞赛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B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D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全国大学生先进成图技术与产品信息建模创新大赛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0E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0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全国大学生信息安全竞赛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1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3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全国大学生智能汽车竞赛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4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6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全国大学生自动化大赛暨自动化创新设计竞赛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7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9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全国大中学生海洋知识竞赛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A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C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全国高等教育学校建筑设计教案和教学成果评选活动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D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1F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全国高校土木工程专业本科生优秀创新实践成果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0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2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全国高校学生DV作品大赛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3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5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全国水利创新设计大赛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6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8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全国土木工程专业大学生论坛建造比赛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9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B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全国周培源大学生力学竞赛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C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E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中国大学生方程式汽车大赛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2F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1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中国大学生物理学术竞赛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2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4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中国大学生物联网创新创业大赛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5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7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中国制冷空调行业大学生科技竞赛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8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A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“外研社杯”全国英语写作、阅读、演讲大赛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B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D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全国高等医学院校大学生临床技能竞赛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3E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0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全国大学生物流设计大赛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1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3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全国大学生创新创业训练计划年会展示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4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6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ACM国际大学生程序设计竞赛（ACM–ICPC）亚洲区域赛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7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9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中国“互联网+”大学生创新创业大赛广东省分赛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A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C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“挑战杯”广东大学生课外学术科技作品竞赛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D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4F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“创青春”广东大学生创业大赛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0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2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大学生机械创新设计大赛（广东省）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3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5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广东大学生节能减排工业设计大赛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6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8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广东省大学生程序设计大赛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9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B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广东省大学生电子设计大赛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C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E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广东省大学生物理实验设计大赛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5F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1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广东省软件作品设计竞赛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2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4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广东大学生材料创新大赛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5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7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全国大学生数学建模竞赛（广东赛区）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8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A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全国大学生数学竞赛（广东赛区）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B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D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全国大学生智能汽车竞赛（华南赛区）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6E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0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粤港澳大学生计算机软件应用大赛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1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3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中国大学生物联网创新创业大赛广东赛区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4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6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中南地区大学生结构设计大赛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7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9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中国高校智能机器人创意大赛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A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C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中国“互联网+”大学生创新创业大赛华南理工大学校赛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D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校级</w:t>
            </w:r>
          </w:p>
        </w:tc>
      </w:tr>
      <w:tr w14:paraId="329BE3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6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7F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华南理工大学“挑战杯”大学生课外学术科技作品竞赛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0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校级</w:t>
            </w:r>
          </w:p>
        </w:tc>
      </w:tr>
      <w:tr w14:paraId="329BE3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2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华南理工大学“创青春”大学生创业竞赛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3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校级</w:t>
            </w:r>
          </w:p>
        </w:tc>
      </w:tr>
      <w:tr w14:paraId="329BE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83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5">
            <w:pPr>
              <w:pStyle w:val="40"/>
              <w:spacing w:before="0" w:line="382" w:lineRule="exact"/>
              <w:rPr>
                <w:rFonts w:ascii="仿宋" w:hAnsi="仿宋" w:eastAsia="仿宋"/>
                <w:b/>
                <w:bCs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bCs/>
                <w:sz w:val="24"/>
                <w:szCs w:val="24"/>
                <w:lang w:eastAsia="zh-CN"/>
              </w:rPr>
              <w:t>22/23年学院认证补充竞赛列表</w:t>
            </w:r>
          </w:p>
        </w:tc>
      </w:tr>
      <w:tr w14:paraId="329BE3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7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中国大学生程序设计竞赛（未来）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8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A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全国大学生机器人大赛</w:t>
            </w: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 xml:space="preserve"> ROBOCON（未来）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B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D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中国大学生计算机设计大赛（未来）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8E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0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全国大学生嵌入式芯片与系统设计竞赛（未来）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1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3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全国大学生数字媒体科技作品及创意竞赛（未来）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4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国家级</w:t>
            </w:r>
          </w:p>
        </w:tc>
      </w:tr>
      <w:tr w14:paraId="329BE3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6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亚太地区大学生数学建模竞赛（未来）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7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9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百度之星程序设计竞赛（未来）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A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C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MathorCup 高校数学建模挑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战赛（未来）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D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9F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蓝桥杯全国软件和信息技术专业人才大赛（未来）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A0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A2">
            <w:pPr>
              <w:pStyle w:val="40"/>
              <w:spacing w:before="0" w:line="382" w:lineRule="exact"/>
              <w:jc w:val="left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奥比中光</w:t>
            </w: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 xml:space="preserve"> 3D 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视觉创新应用竞赛（未来）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 w14:paraId="329BE3A3">
            <w:pPr>
              <w:pStyle w:val="40"/>
              <w:spacing w:before="0" w:line="382" w:lineRule="exact"/>
              <w:ind w:right="458"/>
              <w:rPr>
                <w:rFonts w:ascii="仿宋" w:hAnsi="仿宋" w:eastAsia="仿宋"/>
                <w:sz w:val="24"/>
                <w:szCs w:val="24"/>
                <w:lang w:eastAsia="zh-CN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省级</w:t>
            </w:r>
          </w:p>
        </w:tc>
      </w:tr>
      <w:tr w14:paraId="329BE3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29BE3A5">
            <w:pPr>
              <w:pStyle w:val="40"/>
              <w:spacing w:before="0" w:line="382" w:lineRule="exact"/>
              <w:jc w:val="left"/>
              <w:rPr>
                <w:rFonts w:hint="eastAsia"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2023年全国大学生机器人科技创新交流营暨机器人大赛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29BE3A6">
            <w:pPr>
              <w:pStyle w:val="40"/>
              <w:spacing w:before="0" w:line="382" w:lineRule="exact"/>
              <w:ind w:right="458" w:rightChars="0"/>
              <w:rPr>
                <w:rFonts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省级</w:t>
            </w:r>
          </w:p>
        </w:tc>
      </w:tr>
      <w:tr w14:paraId="329BE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29BE3A8">
            <w:pPr>
              <w:pStyle w:val="40"/>
              <w:spacing w:before="0" w:line="382" w:lineRule="exact"/>
              <w:jc w:val="left"/>
              <w:rPr>
                <w:rFonts w:hint="eastAsia"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华为ICT大赛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329BE3A9">
            <w:pPr>
              <w:pStyle w:val="40"/>
              <w:spacing w:before="0" w:line="382" w:lineRule="exact"/>
              <w:ind w:right="458" w:rightChars="0"/>
              <w:rPr>
                <w:rFonts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省级</w:t>
            </w:r>
          </w:p>
        </w:tc>
      </w:tr>
      <w:tr w14:paraId="0E8B42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AC9C145">
            <w:pPr>
              <w:pStyle w:val="40"/>
              <w:spacing w:before="0" w:line="382" w:lineRule="exact"/>
              <w:jc w:val="left"/>
              <w:rPr>
                <w:rFonts w:hint="eastAsia"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2024睿抗机器人开发者大赛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2B587E9E">
            <w:pPr>
              <w:pStyle w:val="40"/>
              <w:spacing w:before="0" w:line="382" w:lineRule="exact"/>
              <w:ind w:right="458" w:rightChars="0"/>
              <w:rPr>
                <w:rFonts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省级</w:t>
            </w:r>
          </w:p>
        </w:tc>
      </w:tr>
      <w:tr w14:paraId="31ED79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1D28ED8">
            <w:pPr>
              <w:pStyle w:val="40"/>
              <w:spacing w:before="0" w:line="382" w:lineRule="exact"/>
              <w:jc w:val="left"/>
              <w:rPr>
                <w:rFonts w:hint="eastAsia"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英特尔杯嵌入式邀请赛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6A6E330C">
            <w:pPr>
              <w:pStyle w:val="40"/>
              <w:spacing w:before="0" w:line="382" w:lineRule="exact"/>
              <w:ind w:right="458" w:rightChars="0"/>
              <w:rPr>
                <w:rFonts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color w:val="000000"/>
                <w:sz w:val="24"/>
                <w:szCs w:val="24"/>
                <w:lang w:eastAsia="zh-CN"/>
              </w:rPr>
              <w:t>省级</w:t>
            </w:r>
          </w:p>
        </w:tc>
      </w:tr>
      <w:tr w14:paraId="599BEE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01C04630">
            <w:pPr>
              <w:pStyle w:val="40"/>
              <w:spacing w:before="0" w:line="382" w:lineRule="exact"/>
              <w:jc w:val="left"/>
              <w:rPr>
                <w:rFonts w:hint="eastAsia"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阿里云杯程序设计竞赛（未来）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A1E648C">
            <w:pPr>
              <w:pStyle w:val="40"/>
              <w:spacing w:before="0" w:line="382" w:lineRule="exact"/>
              <w:ind w:right="458" w:rightChars="0"/>
              <w:rPr>
                <w:rFonts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校级</w:t>
            </w:r>
          </w:p>
        </w:tc>
      </w:tr>
      <w:tr w14:paraId="75481F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4" w:hRule="atLeast"/>
        </w:trPr>
        <w:tc>
          <w:tcPr>
            <w:tcW w:w="68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4E44B426">
            <w:pPr>
              <w:pStyle w:val="40"/>
              <w:spacing w:before="0" w:line="382" w:lineRule="exact"/>
              <w:jc w:val="left"/>
              <w:rPr>
                <w:rFonts w:hint="eastAsia"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未来技术</w:t>
            </w: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-百度</w:t>
            </w:r>
            <w:r>
              <w:rPr>
                <w:rFonts w:hint="eastAsia" w:ascii="仿宋" w:hAnsi="仿宋" w:eastAsia="仿宋"/>
                <w:sz w:val="24"/>
                <w:szCs w:val="24"/>
                <w:lang w:eastAsia="zh-CN"/>
              </w:rPr>
              <w:t>飞桨程序设计竞赛（未来）</w:t>
            </w:r>
          </w:p>
        </w:tc>
        <w:tc>
          <w:tcPr>
            <w:tcW w:w="15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top"/>
          </w:tcPr>
          <w:p w14:paraId="702C677A">
            <w:pPr>
              <w:pStyle w:val="40"/>
              <w:spacing w:before="0" w:line="382" w:lineRule="exact"/>
              <w:ind w:right="458" w:rightChars="0"/>
              <w:rPr>
                <w:rFonts w:ascii="仿宋" w:hAnsi="仿宋" w:eastAsia="仿宋" w:cs="Arial Unicode MS"/>
                <w:kern w:val="0"/>
                <w:sz w:val="24"/>
                <w:szCs w:val="24"/>
                <w:lang w:val="en-US" w:eastAsia="zh-CN" w:bidi="ar-SA"/>
                <w14:ligatures w14:val="none"/>
              </w:rPr>
            </w:pPr>
            <w:r>
              <w:rPr>
                <w:rFonts w:ascii="仿宋" w:hAnsi="仿宋" w:eastAsia="仿宋"/>
                <w:sz w:val="24"/>
                <w:szCs w:val="24"/>
                <w:lang w:eastAsia="zh-CN"/>
              </w:rPr>
              <w:t>院级</w:t>
            </w:r>
          </w:p>
        </w:tc>
      </w:tr>
    </w:tbl>
    <w:p w14:paraId="329BE3AB">
      <w:pPr>
        <w:rPr>
          <w:rFonts w:ascii="仿宋" w:hAnsi="仿宋" w:eastAsia="仿宋"/>
          <w:sz w:val="18"/>
          <w:szCs w:val="18"/>
        </w:rPr>
      </w:pPr>
      <w:r>
        <w:rPr>
          <w:rFonts w:hint="eastAsia" w:ascii="仿宋" w:hAnsi="仿宋" w:eastAsia="仿宋"/>
          <w:sz w:val="18"/>
          <w:szCs w:val="18"/>
        </w:rPr>
        <w:t>※未在以上表内的竞赛，在校竞赛采集系统中已获得录入的其他比赛直接使用该竞赛级别；不在表内且不在校竞赛采集系统中的竞赛级别可提交评审组认定，不予争议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  <w:embedRegular r:id="rId1" w:fontKey="{083EFC8A-5223-4E73-8B3C-D1CEC8C7EE87}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Arial Unicode MS">
    <w:altName w:val="Arial"/>
    <w:panose1 w:val="020B0604020202020204"/>
    <w:charset w:val="80"/>
    <w:family w:val="swiss"/>
    <w:pitch w:val="default"/>
    <w:sig w:usb0="00000000" w:usb1="00000000" w:usb2="0000003F" w:usb3="00000000" w:csb0="003F01FF" w:csb1="00000000"/>
    <w:embedRegular r:id="rId2" w:fontKey="{4D7331C2-2593-430E-A6AB-43A723C68D7F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7BBD7E3A-C645-4892-9307-65EF21DA93CA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4" w:fontKey="{CA1E1185-506C-415C-AD37-76A7CEEF5AA6}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8" w:lineRule="auto"/>
      </w:pPr>
      <w:r>
        <w:separator/>
      </w:r>
    </w:p>
  </w:footnote>
  <w:footnote w:type="continuationSeparator" w:id="1">
    <w:p>
      <w:pPr>
        <w:spacing w:before="0" w:after="0" w:line="278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6EA2798B"/>
    <w:multiLevelType w:val="multilevel"/>
    <w:tmpl w:val="6EA2798B"/>
    <w:lvl w:ilvl="0" w:tentative="0">
      <w:start w:val="1"/>
      <w:numFmt w:val="chineseCountingThousand"/>
      <w:lvlText w:val="%1、"/>
      <w:lvlJc w:val="left"/>
      <w:pPr>
        <w:ind w:left="440" w:hanging="440"/>
      </w:p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abstractNum w:abstractNumId="1">
    <w:nsid w:val="6F015A3F"/>
    <w:multiLevelType w:val="multilevel"/>
    <w:tmpl w:val="6F015A3F"/>
    <w:lvl w:ilvl="0" w:tentative="0">
      <w:start w:val="1"/>
      <w:numFmt w:val="decimal"/>
      <w:lvlText w:val="%1."/>
      <w:lvlJc w:val="left"/>
      <w:pPr>
        <w:ind w:left="440" w:hanging="440"/>
      </w:pPr>
    </w:lvl>
    <w:lvl w:ilvl="1" w:tentative="0">
      <w:start w:val="1"/>
      <w:numFmt w:val="lowerLetter"/>
      <w:lvlText w:val="%2)"/>
      <w:lvlJc w:val="left"/>
      <w:pPr>
        <w:ind w:left="880" w:hanging="440"/>
      </w:pPr>
    </w:lvl>
    <w:lvl w:ilvl="2" w:tentative="0">
      <w:start w:val="1"/>
      <w:numFmt w:val="lowerRoman"/>
      <w:lvlText w:val="%3."/>
      <w:lvlJc w:val="right"/>
      <w:pPr>
        <w:ind w:left="1320" w:hanging="440"/>
      </w:pPr>
    </w:lvl>
    <w:lvl w:ilvl="3" w:tentative="0">
      <w:start w:val="1"/>
      <w:numFmt w:val="decimal"/>
      <w:lvlText w:val="%4."/>
      <w:lvlJc w:val="left"/>
      <w:pPr>
        <w:ind w:left="1760" w:hanging="440"/>
      </w:pPr>
    </w:lvl>
    <w:lvl w:ilvl="4" w:tentative="0">
      <w:start w:val="1"/>
      <w:numFmt w:val="lowerLetter"/>
      <w:lvlText w:val="%5)"/>
      <w:lvlJc w:val="left"/>
      <w:pPr>
        <w:ind w:left="2200" w:hanging="440"/>
      </w:pPr>
    </w:lvl>
    <w:lvl w:ilvl="5" w:tentative="0">
      <w:start w:val="1"/>
      <w:numFmt w:val="lowerRoman"/>
      <w:lvlText w:val="%6."/>
      <w:lvlJc w:val="right"/>
      <w:pPr>
        <w:ind w:left="2640" w:hanging="440"/>
      </w:pPr>
    </w:lvl>
    <w:lvl w:ilvl="6" w:tentative="0">
      <w:start w:val="1"/>
      <w:numFmt w:val="decimal"/>
      <w:lvlText w:val="%7."/>
      <w:lvlJc w:val="left"/>
      <w:pPr>
        <w:ind w:left="3080" w:hanging="440"/>
      </w:pPr>
    </w:lvl>
    <w:lvl w:ilvl="7" w:tentative="0">
      <w:start w:val="1"/>
      <w:numFmt w:val="lowerLetter"/>
      <w:lvlText w:val="%8)"/>
      <w:lvlJc w:val="left"/>
      <w:pPr>
        <w:ind w:left="3520" w:hanging="440"/>
      </w:pPr>
    </w:lvl>
    <w:lvl w:ilvl="8" w:tentative="0">
      <w:start w:val="1"/>
      <w:numFmt w:val="lowerRoman"/>
      <w:lvlText w:val="%9."/>
      <w:lvlJc w:val="right"/>
      <w:pPr>
        <w:ind w:left="3960" w:hanging="44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zZjNWYxOGY2N2NjNmE3YTIwMGY5MzgyYzM5Mjg4OWQifQ=="/>
  </w:docVars>
  <w:rsids>
    <w:rsidRoot w:val="003C75E4"/>
    <w:rsid w:val="00031EB7"/>
    <w:rsid w:val="00052D8F"/>
    <w:rsid w:val="00060FEF"/>
    <w:rsid w:val="00097C01"/>
    <w:rsid w:val="000C05D6"/>
    <w:rsid w:val="00104199"/>
    <w:rsid w:val="0013383F"/>
    <w:rsid w:val="001401A2"/>
    <w:rsid w:val="0018079E"/>
    <w:rsid w:val="00185145"/>
    <w:rsid w:val="001C692A"/>
    <w:rsid w:val="001D1537"/>
    <w:rsid w:val="001F2C19"/>
    <w:rsid w:val="001F364C"/>
    <w:rsid w:val="0021682D"/>
    <w:rsid w:val="00242F59"/>
    <w:rsid w:val="00265DF0"/>
    <w:rsid w:val="0027469F"/>
    <w:rsid w:val="0028458B"/>
    <w:rsid w:val="002A309E"/>
    <w:rsid w:val="002B5941"/>
    <w:rsid w:val="002E279A"/>
    <w:rsid w:val="003052FF"/>
    <w:rsid w:val="00312909"/>
    <w:rsid w:val="00340FE3"/>
    <w:rsid w:val="00364E82"/>
    <w:rsid w:val="0037695B"/>
    <w:rsid w:val="00376A74"/>
    <w:rsid w:val="003B5BAD"/>
    <w:rsid w:val="003B62E7"/>
    <w:rsid w:val="003C75E4"/>
    <w:rsid w:val="003D3783"/>
    <w:rsid w:val="003E0153"/>
    <w:rsid w:val="003E1C11"/>
    <w:rsid w:val="003F567D"/>
    <w:rsid w:val="00460470"/>
    <w:rsid w:val="004A263D"/>
    <w:rsid w:val="004E18C7"/>
    <w:rsid w:val="004E5EA8"/>
    <w:rsid w:val="004E74BE"/>
    <w:rsid w:val="004F52EC"/>
    <w:rsid w:val="00540256"/>
    <w:rsid w:val="0054462F"/>
    <w:rsid w:val="00577790"/>
    <w:rsid w:val="005A4CD2"/>
    <w:rsid w:val="005B7D80"/>
    <w:rsid w:val="00601863"/>
    <w:rsid w:val="00613A8E"/>
    <w:rsid w:val="006158C2"/>
    <w:rsid w:val="00623175"/>
    <w:rsid w:val="006342F2"/>
    <w:rsid w:val="00662283"/>
    <w:rsid w:val="00671A54"/>
    <w:rsid w:val="00686CDD"/>
    <w:rsid w:val="0069536E"/>
    <w:rsid w:val="00696E9E"/>
    <w:rsid w:val="006A2ABC"/>
    <w:rsid w:val="006B3BCE"/>
    <w:rsid w:val="006D196D"/>
    <w:rsid w:val="006F45AC"/>
    <w:rsid w:val="00716907"/>
    <w:rsid w:val="00743070"/>
    <w:rsid w:val="007544D9"/>
    <w:rsid w:val="0075587E"/>
    <w:rsid w:val="007975DC"/>
    <w:rsid w:val="007A7372"/>
    <w:rsid w:val="007B4C64"/>
    <w:rsid w:val="007C0D22"/>
    <w:rsid w:val="007D0900"/>
    <w:rsid w:val="00802766"/>
    <w:rsid w:val="0081014F"/>
    <w:rsid w:val="008139A5"/>
    <w:rsid w:val="00813F0A"/>
    <w:rsid w:val="00816A99"/>
    <w:rsid w:val="00851CC8"/>
    <w:rsid w:val="00882D60"/>
    <w:rsid w:val="008A53DB"/>
    <w:rsid w:val="008B3BE5"/>
    <w:rsid w:val="008C776F"/>
    <w:rsid w:val="00901E52"/>
    <w:rsid w:val="00902BB5"/>
    <w:rsid w:val="0091368A"/>
    <w:rsid w:val="0093310B"/>
    <w:rsid w:val="00956079"/>
    <w:rsid w:val="00956583"/>
    <w:rsid w:val="009C639E"/>
    <w:rsid w:val="009D1985"/>
    <w:rsid w:val="009F3A66"/>
    <w:rsid w:val="00A2571E"/>
    <w:rsid w:val="00A54AC7"/>
    <w:rsid w:val="00A717F9"/>
    <w:rsid w:val="00A77B59"/>
    <w:rsid w:val="00A804D6"/>
    <w:rsid w:val="00A85F64"/>
    <w:rsid w:val="00A92DFA"/>
    <w:rsid w:val="00AD4D9F"/>
    <w:rsid w:val="00B02A30"/>
    <w:rsid w:val="00B13728"/>
    <w:rsid w:val="00B14C65"/>
    <w:rsid w:val="00BC24DA"/>
    <w:rsid w:val="00BE0217"/>
    <w:rsid w:val="00BE521A"/>
    <w:rsid w:val="00BE6817"/>
    <w:rsid w:val="00BF6083"/>
    <w:rsid w:val="00C02F10"/>
    <w:rsid w:val="00C3608B"/>
    <w:rsid w:val="00C44410"/>
    <w:rsid w:val="00C559A0"/>
    <w:rsid w:val="00C97BB8"/>
    <w:rsid w:val="00CB316A"/>
    <w:rsid w:val="00D06512"/>
    <w:rsid w:val="00D27D05"/>
    <w:rsid w:val="00D70D62"/>
    <w:rsid w:val="00D73D45"/>
    <w:rsid w:val="00DD5F3B"/>
    <w:rsid w:val="00E164EB"/>
    <w:rsid w:val="00EA3E34"/>
    <w:rsid w:val="00EC6AF9"/>
    <w:rsid w:val="00EE5662"/>
    <w:rsid w:val="00EF03B7"/>
    <w:rsid w:val="00F23566"/>
    <w:rsid w:val="00F4303B"/>
    <w:rsid w:val="00F973E9"/>
    <w:rsid w:val="00FA499B"/>
    <w:rsid w:val="00FC043F"/>
    <w:rsid w:val="00FD2FD8"/>
    <w:rsid w:val="00FD72B6"/>
    <w:rsid w:val="029D0326"/>
    <w:rsid w:val="0CB11F5E"/>
    <w:rsid w:val="0D6106E8"/>
    <w:rsid w:val="1AB21997"/>
    <w:rsid w:val="33D47A42"/>
    <w:rsid w:val="3551465B"/>
    <w:rsid w:val="3E8C3371"/>
    <w:rsid w:val="430F475E"/>
    <w:rsid w:val="4B650936"/>
    <w:rsid w:val="4EE312DE"/>
    <w:rsid w:val="53A4599C"/>
    <w:rsid w:val="5BB70707"/>
    <w:rsid w:val="616B3316"/>
    <w:rsid w:val="69A2427D"/>
    <w:rsid w:val="70017B0C"/>
    <w:rsid w:val="71247293"/>
    <w:rsid w:val="722577FA"/>
    <w:rsid w:val="78AE143F"/>
    <w:rsid w:val="7DA975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qFormat="1" w:unhideWhenUsed="0" w:uiPriority="29" w:semiHidden="0" w:name="Quote"/>
    <w:lsdException w:qFormat="1" w:unhideWhenUsed="0" w:uiPriority="30" w:semiHidden="0" w:name="Intense Quote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spacing w:after="160" w:line="278" w:lineRule="auto"/>
    </w:pPr>
    <w:rPr>
      <w:rFonts w:asciiTheme="minorHAnsi" w:hAnsiTheme="minorHAnsi" w:eastAsiaTheme="minorEastAsia" w:cstheme="minorBidi"/>
      <w:kern w:val="2"/>
      <w:sz w:val="22"/>
      <w:szCs w:val="24"/>
      <w:lang w:val="en-US" w:eastAsia="zh-CN" w:bidi="ar-SA"/>
      <w14:ligatures w14:val="standardContextual"/>
    </w:rPr>
  </w:style>
  <w:style w:type="paragraph" w:styleId="2">
    <w:name w:val="heading 1"/>
    <w:basedOn w:val="1"/>
    <w:next w:val="1"/>
    <w:link w:val="19"/>
    <w:qFormat/>
    <w:uiPriority w:val="9"/>
    <w:pPr>
      <w:keepNext/>
      <w:keepLines/>
      <w:spacing w:before="480" w:after="80"/>
      <w:outlineLvl w:val="0"/>
    </w:pPr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paragraph" w:styleId="3">
    <w:name w:val="heading 2"/>
    <w:basedOn w:val="1"/>
    <w:next w:val="1"/>
    <w:link w:val="20"/>
    <w:semiHidden/>
    <w:unhideWhenUsed/>
    <w:qFormat/>
    <w:uiPriority w:val="9"/>
    <w:pPr>
      <w:keepNext/>
      <w:keepLines/>
      <w:spacing w:before="160" w:after="80"/>
      <w:outlineLvl w:val="1"/>
    </w:pPr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paragraph" w:styleId="4">
    <w:name w:val="heading 3"/>
    <w:basedOn w:val="1"/>
    <w:next w:val="1"/>
    <w:link w:val="21"/>
    <w:autoRedefine/>
    <w:semiHidden/>
    <w:unhideWhenUsed/>
    <w:qFormat/>
    <w:uiPriority w:val="9"/>
    <w:pPr>
      <w:keepNext/>
      <w:keepLines/>
      <w:spacing w:before="160" w:after="80"/>
      <w:outlineLvl w:val="2"/>
    </w:pPr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paragraph" w:styleId="5">
    <w:name w:val="heading 4"/>
    <w:basedOn w:val="1"/>
    <w:next w:val="1"/>
    <w:link w:val="22"/>
    <w:autoRedefine/>
    <w:semiHidden/>
    <w:unhideWhenUsed/>
    <w:qFormat/>
    <w:uiPriority w:val="9"/>
    <w:pPr>
      <w:keepNext/>
      <w:keepLines/>
      <w:spacing w:before="80" w:after="40"/>
      <w:outlineLvl w:val="3"/>
    </w:pPr>
    <w:rPr>
      <w:rFonts w:cstheme="majorBidi"/>
      <w:color w:val="104862" w:themeColor="accent1" w:themeShade="BF"/>
      <w:sz w:val="28"/>
      <w:szCs w:val="28"/>
    </w:rPr>
  </w:style>
  <w:style w:type="paragraph" w:styleId="6">
    <w:name w:val="heading 5"/>
    <w:basedOn w:val="1"/>
    <w:next w:val="1"/>
    <w:link w:val="23"/>
    <w:autoRedefine/>
    <w:semiHidden/>
    <w:unhideWhenUsed/>
    <w:qFormat/>
    <w:uiPriority w:val="9"/>
    <w:pPr>
      <w:keepNext/>
      <w:keepLines/>
      <w:spacing w:before="80" w:after="40"/>
      <w:outlineLvl w:val="4"/>
    </w:pPr>
    <w:rPr>
      <w:rFonts w:cstheme="majorBidi"/>
      <w:color w:val="104862" w:themeColor="accent1" w:themeShade="BF"/>
      <w:sz w:val="24"/>
    </w:rPr>
  </w:style>
  <w:style w:type="paragraph" w:styleId="7">
    <w:name w:val="heading 6"/>
    <w:basedOn w:val="1"/>
    <w:next w:val="1"/>
    <w:link w:val="24"/>
    <w:autoRedefine/>
    <w:semiHidden/>
    <w:unhideWhenUsed/>
    <w:qFormat/>
    <w:uiPriority w:val="9"/>
    <w:pPr>
      <w:keepNext/>
      <w:keepLines/>
      <w:spacing w:before="40" w:after="0"/>
      <w:outlineLvl w:val="5"/>
    </w:pPr>
    <w:rPr>
      <w:rFonts w:cstheme="majorBidi"/>
      <w:b/>
      <w:bCs/>
      <w:color w:val="104862" w:themeColor="accent1" w:themeShade="BF"/>
    </w:rPr>
  </w:style>
  <w:style w:type="paragraph" w:styleId="8">
    <w:name w:val="heading 7"/>
    <w:basedOn w:val="1"/>
    <w:next w:val="1"/>
    <w:link w:val="25"/>
    <w:semiHidden/>
    <w:unhideWhenUsed/>
    <w:qFormat/>
    <w:uiPriority w:val="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9">
    <w:name w:val="heading 8"/>
    <w:basedOn w:val="1"/>
    <w:next w:val="1"/>
    <w:link w:val="26"/>
    <w:autoRedefine/>
    <w:semiHidden/>
    <w:unhideWhenUsed/>
    <w:qFormat/>
    <w:uiPriority w:val="9"/>
    <w:pPr>
      <w:keepNext/>
      <w:keepLines/>
      <w:spacing w:after="0"/>
      <w:outlineLvl w:val="7"/>
    </w:pPr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0">
    <w:name w:val="heading 9"/>
    <w:basedOn w:val="1"/>
    <w:next w:val="1"/>
    <w:link w:val="27"/>
    <w:autoRedefine/>
    <w:semiHidden/>
    <w:unhideWhenUsed/>
    <w:qFormat/>
    <w:uiPriority w:val="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default="1" w:styleId="18">
    <w:name w:val="Default Paragraph Font"/>
    <w:semiHidden/>
    <w:unhideWhenUsed/>
    <w:qFormat/>
    <w:uiPriority w:val="1"/>
  </w:style>
  <w:style w:type="table" w:default="1" w:styleId="1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annotation text"/>
    <w:basedOn w:val="1"/>
    <w:link w:val="42"/>
    <w:autoRedefine/>
    <w:unhideWhenUsed/>
    <w:qFormat/>
    <w:uiPriority w:val="99"/>
  </w:style>
  <w:style w:type="paragraph" w:styleId="12">
    <w:name w:val="footer"/>
    <w:basedOn w:val="1"/>
    <w:link w:val="38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paragraph" w:styleId="13">
    <w:name w:val="header"/>
    <w:basedOn w:val="1"/>
    <w:link w:val="37"/>
    <w:autoRedefine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uto"/>
      <w:jc w:val="center"/>
    </w:pPr>
    <w:rPr>
      <w:sz w:val="18"/>
      <w:szCs w:val="18"/>
    </w:rPr>
  </w:style>
  <w:style w:type="paragraph" w:styleId="14">
    <w:name w:val="Subtitle"/>
    <w:basedOn w:val="1"/>
    <w:next w:val="1"/>
    <w:link w:val="29"/>
    <w:autoRedefine/>
    <w:qFormat/>
    <w:uiPriority w:val="11"/>
    <w:pPr>
      <w:jc w:val="center"/>
    </w:pPr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15">
    <w:name w:val="Title"/>
    <w:basedOn w:val="1"/>
    <w:next w:val="1"/>
    <w:link w:val="28"/>
    <w:autoRedefine/>
    <w:qFormat/>
    <w:uiPriority w:val="10"/>
    <w:pPr>
      <w:spacing w:after="80" w:line="240" w:lineRule="auto"/>
      <w:contextualSpacing/>
      <w:jc w:val="center"/>
    </w:pPr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table" w:styleId="17">
    <w:name w:val="Table Grid"/>
    <w:basedOn w:val="16"/>
    <w:autoRedefine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9">
    <w:name w:val="标题 1 字符"/>
    <w:basedOn w:val="18"/>
    <w:link w:val="2"/>
    <w:autoRedefine/>
    <w:qFormat/>
    <w:uiPriority w:val="9"/>
    <w:rPr>
      <w:rFonts w:asciiTheme="majorHAnsi" w:hAnsiTheme="majorHAnsi" w:eastAsiaTheme="majorEastAsia" w:cstheme="majorBidi"/>
      <w:color w:val="104862" w:themeColor="accent1" w:themeShade="BF"/>
      <w:sz w:val="48"/>
      <w:szCs w:val="48"/>
    </w:rPr>
  </w:style>
  <w:style w:type="character" w:customStyle="1" w:styleId="20">
    <w:name w:val="标题 2 字符"/>
    <w:basedOn w:val="18"/>
    <w:link w:val="3"/>
    <w:autoRedefine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40"/>
      <w:szCs w:val="40"/>
    </w:rPr>
  </w:style>
  <w:style w:type="character" w:customStyle="1" w:styleId="21">
    <w:name w:val="标题 3 字符"/>
    <w:basedOn w:val="18"/>
    <w:link w:val="4"/>
    <w:autoRedefine/>
    <w:semiHidden/>
    <w:qFormat/>
    <w:uiPriority w:val="9"/>
    <w:rPr>
      <w:rFonts w:asciiTheme="majorHAnsi" w:hAnsiTheme="majorHAnsi" w:eastAsiaTheme="majorEastAsia" w:cstheme="majorBidi"/>
      <w:color w:val="104862" w:themeColor="accent1" w:themeShade="BF"/>
      <w:sz w:val="32"/>
      <w:szCs w:val="32"/>
    </w:rPr>
  </w:style>
  <w:style w:type="character" w:customStyle="1" w:styleId="22">
    <w:name w:val="标题 4 字符"/>
    <w:basedOn w:val="18"/>
    <w:link w:val="5"/>
    <w:autoRedefine/>
    <w:semiHidden/>
    <w:qFormat/>
    <w:uiPriority w:val="9"/>
    <w:rPr>
      <w:rFonts w:cstheme="majorBidi"/>
      <w:color w:val="104862" w:themeColor="accent1" w:themeShade="BF"/>
      <w:sz w:val="28"/>
      <w:szCs w:val="28"/>
    </w:rPr>
  </w:style>
  <w:style w:type="character" w:customStyle="1" w:styleId="23">
    <w:name w:val="标题 5 字符"/>
    <w:basedOn w:val="18"/>
    <w:link w:val="6"/>
    <w:autoRedefine/>
    <w:semiHidden/>
    <w:qFormat/>
    <w:uiPriority w:val="9"/>
    <w:rPr>
      <w:rFonts w:cstheme="majorBidi"/>
      <w:color w:val="104862" w:themeColor="accent1" w:themeShade="BF"/>
      <w:sz w:val="24"/>
    </w:rPr>
  </w:style>
  <w:style w:type="character" w:customStyle="1" w:styleId="24">
    <w:name w:val="标题 6 字符"/>
    <w:basedOn w:val="18"/>
    <w:link w:val="7"/>
    <w:semiHidden/>
    <w:qFormat/>
    <w:uiPriority w:val="9"/>
    <w:rPr>
      <w:rFonts w:cstheme="majorBidi"/>
      <w:b/>
      <w:bCs/>
      <w:color w:val="104862" w:themeColor="accent1" w:themeShade="BF"/>
    </w:rPr>
  </w:style>
  <w:style w:type="character" w:customStyle="1" w:styleId="25">
    <w:name w:val="标题 7 字符"/>
    <w:basedOn w:val="18"/>
    <w:link w:val="8"/>
    <w:semiHidden/>
    <w:qFormat/>
    <w:uiPriority w:val="9"/>
    <w:rPr>
      <w:rFonts w:cstheme="majorBidi"/>
      <w:b/>
      <w:bCs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6">
    <w:name w:val="标题 8 字符"/>
    <w:basedOn w:val="18"/>
    <w:link w:val="9"/>
    <w:autoRedefine/>
    <w:semiHidden/>
    <w:qFormat/>
    <w:uiPriority w:val="9"/>
    <w:rPr>
      <w:rFonts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7">
    <w:name w:val="标题 9 字符"/>
    <w:basedOn w:val="18"/>
    <w:link w:val="10"/>
    <w:autoRedefine/>
    <w:semiHidden/>
    <w:qFormat/>
    <w:uiPriority w:val="9"/>
    <w:rPr>
      <w:rFonts w:eastAsiaTheme="majorEastAsia" w:cstheme="majorBidi"/>
      <w:color w:val="595959" w:themeColor="text1" w:themeTint="A6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character" w:customStyle="1" w:styleId="28">
    <w:name w:val="标题 字符"/>
    <w:basedOn w:val="18"/>
    <w:link w:val="15"/>
    <w:autoRedefine/>
    <w:qFormat/>
    <w:uiPriority w:val="10"/>
    <w:rPr>
      <w:rFonts w:asciiTheme="majorHAnsi" w:hAnsiTheme="majorHAnsi" w:eastAsiaTheme="majorEastAsia" w:cstheme="majorBidi"/>
      <w:spacing w:val="-10"/>
      <w:kern w:val="28"/>
      <w:sz w:val="56"/>
      <w:szCs w:val="56"/>
    </w:rPr>
  </w:style>
  <w:style w:type="character" w:customStyle="1" w:styleId="29">
    <w:name w:val="副标题 字符"/>
    <w:basedOn w:val="18"/>
    <w:link w:val="14"/>
    <w:autoRedefine/>
    <w:qFormat/>
    <w:uiPriority w:val="11"/>
    <w:rPr>
      <w:rFonts w:asciiTheme="majorHAnsi" w:hAnsiTheme="majorHAnsi" w:eastAsiaTheme="majorEastAsia" w:cstheme="majorBidi"/>
      <w:color w:val="595959" w:themeColor="text1" w:themeTint="A6"/>
      <w:spacing w:val="15"/>
      <w:sz w:val="28"/>
      <w:szCs w:val="28"/>
      <w14:textFill>
        <w14:solidFill>
          <w14:schemeClr w14:val="tx1">
            <w14:lumMod w14:val="65000"/>
            <w14:lumOff w14:val="35000"/>
          </w14:schemeClr>
        </w14:solidFill>
      </w14:textFill>
    </w:rPr>
  </w:style>
  <w:style w:type="paragraph" w:styleId="30">
    <w:name w:val="Quote"/>
    <w:basedOn w:val="1"/>
    <w:next w:val="1"/>
    <w:link w:val="31"/>
    <w:autoRedefine/>
    <w:qFormat/>
    <w:uiPriority w:val="29"/>
    <w:pPr>
      <w:spacing w:before="160"/>
      <w:jc w:val="center"/>
    </w:pPr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character" w:customStyle="1" w:styleId="31">
    <w:name w:val="引用 字符"/>
    <w:basedOn w:val="18"/>
    <w:link w:val="30"/>
    <w:autoRedefine/>
    <w:qFormat/>
    <w:uiPriority w:val="29"/>
    <w:rPr>
      <w:i/>
      <w:iCs/>
      <w:color w:val="404040" w:themeColor="text1" w:themeTint="BF"/>
      <w14:textFill>
        <w14:solidFill>
          <w14:schemeClr w14:val="tx1">
            <w14:lumMod w14:val="75000"/>
            <w14:lumOff w14:val="25000"/>
          </w14:schemeClr>
        </w14:solidFill>
      </w14:textFill>
    </w:rPr>
  </w:style>
  <w:style w:type="paragraph" w:styleId="32">
    <w:name w:val="List Paragraph"/>
    <w:basedOn w:val="1"/>
    <w:autoRedefine/>
    <w:qFormat/>
    <w:uiPriority w:val="1"/>
    <w:pPr>
      <w:ind w:left="720"/>
      <w:contextualSpacing/>
    </w:pPr>
  </w:style>
  <w:style w:type="character" w:customStyle="1" w:styleId="33">
    <w:name w:val="明显强调1"/>
    <w:basedOn w:val="18"/>
    <w:autoRedefine/>
    <w:qFormat/>
    <w:uiPriority w:val="21"/>
    <w:rPr>
      <w:i/>
      <w:iCs/>
      <w:color w:val="104862" w:themeColor="accent1" w:themeShade="BF"/>
    </w:rPr>
  </w:style>
  <w:style w:type="paragraph" w:styleId="34">
    <w:name w:val="Intense Quote"/>
    <w:basedOn w:val="1"/>
    <w:next w:val="1"/>
    <w:link w:val="35"/>
    <w:autoRedefine/>
    <w:qFormat/>
    <w:uiPriority w:val="30"/>
    <w:pPr>
      <w:pBdr>
        <w:top w:val="single" w:color="0F4761" w:themeColor="accent1" w:themeShade="BF" w:sz="4" w:space="10"/>
        <w:bottom w:val="single" w:color="0F4761" w:themeColor="accent1" w:themeShade="BF" w:sz="4" w:space="10"/>
      </w:pBdr>
      <w:spacing w:before="360" w:after="360"/>
      <w:ind w:left="864" w:right="864"/>
      <w:jc w:val="center"/>
    </w:pPr>
    <w:rPr>
      <w:i/>
      <w:iCs/>
      <w:color w:val="104862" w:themeColor="accent1" w:themeShade="BF"/>
    </w:rPr>
  </w:style>
  <w:style w:type="character" w:customStyle="1" w:styleId="35">
    <w:name w:val="明显引用 字符"/>
    <w:basedOn w:val="18"/>
    <w:link w:val="34"/>
    <w:autoRedefine/>
    <w:qFormat/>
    <w:uiPriority w:val="30"/>
    <w:rPr>
      <w:i/>
      <w:iCs/>
      <w:color w:val="104862" w:themeColor="accent1" w:themeShade="BF"/>
    </w:rPr>
  </w:style>
  <w:style w:type="character" w:customStyle="1" w:styleId="36">
    <w:name w:val="明显参考1"/>
    <w:basedOn w:val="18"/>
    <w:autoRedefine/>
    <w:qFormat/>
    <w:uiPriority w:val="32"/>
    <w:rPr>
      <w:b/>
      <w:bCs/>
      <w:smallCaps/>
      <w:color w:val="104862" w:themeColor="accent1" w:themeShade="BF"/>
      <w:spacing w:val="5"/>
    </w:rPr>
  </w:style>
  <w:style w:type="character" w:customStyle="1" w:styleId="37">
    <w:name w:val="页眉 字符"/>
    <w:basedOn w:val="18"/>
    <w:link w:val="13"/>
    <w:autoRedefine/>
    <w:qFormat/>
    <w:uiPriority w:val="99"/>
    <w:rPr>
      <w:sz w:val="18"/>
      <w:szCs w:val="18"/>
    </w:rPr>
  </w:style>
  <w:style w:type="character" w:customStyle="1" w:styleId="38">
    <w:name w:val="页脚 字符"/>
    <w:basedOn w:val="18"/>
    <w:link w:val="12"/>
    <w:autoRedefine/>
    <w:qFormat/>
    <w:uiPriority w:val="99"/>
    <w:rPr>
      <w:sz w:val="18"/>
      <w:szCs w:val="18"/>
    </w:rPr>
  </w:style>
  <w:style w:type="table" w:customStyle="1" w:styleId="39">
    <w:name w:val="Table Normal"/>
    <w:autoRedefine/>
    <w:semiHidden/>
    <w:unhideWhenUsed/>
    <w:qFormat/>
    <w:uiPriority w:val="0"/>
    <w:pPr>
      <w:widowControl w:val="0"/>
      <w:autoSpaceDE w:val="0"/>
      <w:autoSpaceDN w:val="0"/>
    </w:pPr>
    <w:rPr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40">
    <w:name w:val="Table Paragraph"/>
    <w:basedOn w:val="1"/>
    <w:autoRedefine/>
    <w:qFormat/>
    <w:uiPriority w:val="1"/>
    <w:pPr>
      <w:autoSpaceDE w:val="0"/>
      <w:autoSpaceDN w:val="0"/>
      <w:spacing w:before="71" w:after="0" w:line="240" w:lineRule="auto"/>
      <w:jc w:val="center"/>
    </w:pPr>
    <w:rPr>
      <w:rFonts w:ascii="Arial Unicode MS" w:hAnsi="Arial Unicode MS" w:eastAsia="Arial Unicode MS" w:cs="Arial Unicode MS"/>
      <w:kern w:val="0"/>
      <w:szCs w:val="22"/>
      <w:lang w:eastAsia="en-US"/>
      <w14:ligatures w14:val="none"/>
    </w:rPr>
  </w:style>
  <w:style w:type="paragraph" w:customStyle="1" w:styleId="41">
    <w:name w:val="Table Text"/>
    <w:basedOn w:val="1"/>
    <w:autoRedefine/>
    <w:semiHidden/>
    <w:qFormat/>
    <w:uiPriority w:val="0"/>
    <w:pPr>
      <w:widowControl/>
      <w:kinsoku w:val="0"/>
      <w:autoSpaceDE w:val="0"/>
      <w:autoSpaceDN w:val="0"/>
      <w:adjustRightInd w:val="0"/>
      <w:snapToGrid w:val="0"/>
      <w:spacing w:before="55" w:after="0" w:line="247" w:lineRule="auto"/>
      <w:ind w:left="118" w:right="114" w:firstLine="1"/>
      <w:textAlignment w:val="baseline"/>
    </w:pPr>
    <w:rPr>
      <w:rFonts w:ascii="宋体" w:hAnsi="宋体" w:eastAsia="宋体" w:cs="宋体"/>
      <w:snapToGrid w:val="0"/>
      <w:color w:val="000000"/>
      <w:kern w:val="0"/>
      <w:sz w:val="18"/>
      <w:szCs w:val="18"/>
      <w:lang w:eastAsia="en-US"/>
      <w14:ligatures w14:val="none"/>
    </w:rPr>
  </w:style>
  <w:style w:type="character" w:customStyle="1" w:styleId="42">
    <w:name w:val="批注文字 字符"/>
    <w:basedOn w:val="18"/>
    <w:link w:val="11"/>
    <w:autoRedefine/>
    <w:qFormat/>
    <w:uiPriority w:val="99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2513</Words>
  <Characters>2679</Characters>
  <Lines>21</Lines>
  <Paragraphs>5</Paragraphs>
  <TotalTime>0</TotalTime>
  <ScaleCrop>false</ScaleCrop>
  <LinksUpToDate>false</LinksUpToDate>
  <CharactersWithSpaces>2694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2024-03-29T03:53:00Z</dcterms:created>
  <dc:creator>Qian jingdao</dc:creator>
  <cp:lastModifiedBy>钱镜道</cp:lastModifiedBy>
  <dcterms:modified xsi:type="dcterms:W3CDTF">2025-04-30T08:32:59Z</dcterms:modified>
  <cp:revision>119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9B04603303AA4DFA89E53DC533F731E2_12</vt:lpwstr>
  </property>
  <property fmtid="{D5CDD505-2E9C-101B-9397-08002B2CF9AE}" pid="4" name="KSOTemplateDocerSaveRecord">
    <vt:lpwstr>eyJoZGlkIjoiMjEzNjllMmRmYWFjODYxMWU3MmZjMWIxZTNhMTIzMjgiLCJ1c2VySWQiOiIyMjg5MzI5MTEifQ==</vt:lpwstr>
  </property>
</Properties>
</file>