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93ED9">
      <w:pPr>
        <w:spacing w:before="68" w:line="220" w:lineRule="auto"/>
        <w:jc w:val="center"/>
        <w:outlineLvl w:val="0"/>
        <w:rPr>
          <w:rFonts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pacing w:val="-1"/>
          <w:sz w:val="28"/>
          <w:szCs w:val="28"/>
          <w:u w:val="none"/>
          <w:lang w:val="en-US" w:eastAsia="zh-CN"/>
        </w:rPr>
        <w:t>华南理工大学动物中心</w:t>
      </w:r>
      <w:r>
        <w:rPr>
          <w:rFonts w:hint="eastAsia" w:ascii="黑体" w:hAnsi="黑体" w:eastAsia="黑体" w:cs="黑体"/>
          <w:spacing w:val="-1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ascii="黑体" w:hAnsi="黑体" w:eastAsia="黑体" w:cs="黑体"/>
          <w:spacing w:val="-1"/>
          <w:sz w:val="28"/>
          <w:szCs w:val="28"/>
          <w:lang w:eastAsia="zh-CN"/>
        </w:rPr>
        <w:t>实验活动风险评估表</w:t>
      </w:r>
    </w:p>
    <w:p w14:paraId="370CF72E">
      <w:pPr>
        <w:spacing w:line="166" w:lineRule="exact"/>
        <w:rPr>
          <w:lang w:eastAsia="zh-CN"/>
        </w:rPr>
      </w:pPr>
    </w:p>
    <w:tbl>
      <w:tblPr>
        <w:tblStyle w:val="13"/>
        <w:tblW w:w="5212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68"/>
        <w:gridCol w:w="1825"/>
        <w:gridCol w:w="528"/>
        <w:gridCol w:w="2080"/>
        <w:gridCol w:w="3169"/>
      </w:tblGrid>
      <w:tr w14:paraId="5CE49B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5000" w:type="pct"/>
            <w:gridSpan w:val="5"/>
            <w:shd w:val="clear" w:color="auto" w:fill="D7D7D7" w:themeFill="background1" w:themeFillShade="D8"/>
            <w:vAlign w:val="center"/>
          </w:tcPr>
          <w:p w14:paraId="7B6E98B0">
            <w:pPr>
              <w:pStyle w:val="14"/>
              <w:spacing w:before="105" w:line="360" w:lineRule="auto"/>
              <w:ind w:left="3753" w:leftChars="0"/>
              <w:jc w:val="both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1"/>
                <w:szCs w:val="21"/>
              </w:rPr>
              <w:t>病原微生物</w:t>
            </w:r>
            <w:r>
              <w:rPr>
                <w:rFonts w:hint="eastAsia" w:ascii="Times New Roman" w:hAnsi="Times New Roman" w:cs="Times New Roman"/>
                <w:b/>
                <w:bCs/>
                <w:spacing w:val="-3"/>
                <w:sz w:val="21"/>
                <w:szCs w:val="21"/>
                <w:lang w:eastAsia="zh-CN"/>
              </w:rPr>
              <w:t>信息</w:t>
            </w:r>
          </w:p>
        </w:tc>
      </w:tr>
      <w:tr w14:paraId="6AF541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43" w:type="pct"/>
            <w:vAlign w:val="center"/>
          </w:tcPr>
          <w:p w14:paraId="4937689E">
            <w:pPr>
              <w:pStyle w:val="14"/>
              <w:spacing w:before="146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病原微生物名称</w:t>
            </w:r>
          </w:p>
        </w:tc>
        <w:tc>
          <w:tcPr>
            <w:tcW w:w="1255" w:type="pct"/>
            <w:gridSpan w:val="2"/>
            <w:vAlign w:val="center"/>
          </w:tcPr>
          <w:p w14:paraId="6DB54FC2">
            <w:pPr>
              <w:spacing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  <w:tc>
          <w:tcPr>
            <w:tcW w:w="1109" w:type="pct"/>
            <w:vAlign w:val="center"/>
          </w:tcPr>
          <w:p w14:paraId="62FF8114">
            <w:pPr>
              <w:spacing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</w:rPr>
              <w:t>危害程度分类</w:t>
            </w:r>
          </w:p>
        </w:tc>
        <w:tc>
          <w:tcPr>
            <w:tcW w:w="1691" w:type="pct"/>
            <w:vAlign w:val="center"/>
          </w:tcPr>
          <w:p w14:paraId="7F07D7F8">
            <w:pPr>
              <w:spacing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spacing w:val="-2"/>
              </w:rPr>
              <w:t>三类；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spacing w:val="-2"/>
              </w:rPr>
              <w:t>四类</w:t>
            </w:r>
          </w:p>
        </w:tc>
      </w:tr>
      <w:tr w14:paraId="2A8393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43" w:type="pct"/>
            <w:vAlign w:val="center"/>
          </w:tcPr>
          <w:p w14:paraId="5DCC6DCD">
            <w:pPr>
              <w:pStyle w:val="14"/>
              <w:spacing w:before="146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感染宿主</w:t>
            </w:r>
          </w:p>
        </w:tc>
        <w:tc>
          <w:tcPr>
            <w:tcW w:w="1255" w:type="pct"/>
            <w:gridSpan w:val="2"/>
            <w:vAlign w:val="center"/>
          </w:tcPr>
          <w:p w14:paraId="069D3D99">
            <w:pPr>
              <w:spacing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  <w:tc>
          <w:tcPr>
            <w:tcW w:w="1109" w:type="pct"/>
            <w:vAlign w:val="center"/>
          </w:tcPr>
          <w:p w14:paraId="58C205A3"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val="en-US" w:eastAsia="zh-CN"/>
              </w:rPr>
              <w:t>病原微生物来源</w:t>
            </w:r>
          </w:p>
        </w:tc>
        <w:tc>
          <w:tcPr>
            <w:tcW w:w="1691" w:type="pct"/>
            <w:vAlign w:val="center"/>
          </w:tcPr>
          <w:p w14:paraId="0B066531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□《动物病原微生物目录》</w:t>
            </w:r>
          </w:p>
          <w:p w14:paraId="265F210C"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□《</w:t>
            </w:r>
            <w:r>
              <w:rPr>
                <w:rFonts w:hint="eastAsia" w:ascii="Times New Roman" w:hAnsi="Times New Roman" w:eastAsia="宋体" w:cs="Times New Roman"/>
                <w:spacing w:val="-2"/>
                <w:lang w:val="en-US" w:eastAsia="zh-CN"/>
              </w:rPr>
              <w:t>人间传染的病原微生物目录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》</w:t>
            </w:r>
          </w:p>
        </w:tc>
      </w:tr>
      <w:tr w14:paraId="468E6C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43" w:type="pct"/>
            <w:vAlign w:val="center"/>
          </w:tcPr>
          <w:p w14:paraId="14B468C0">
            <w:pPr>
              <w:pStyle w:val="14"/>
              <w:spacing w:before="146" w:line="36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传播途径</w:t>
            </w:r>
          </w:p>
        </w:tc>
        <w:tc>
          <w:tcPr>
            <w:tcW w:w="1255" w:type="pct"/>
            <w:gridSpan w:val="2"/>
            <w:vAlign w:val="center"/>
          </w:tcPr>
          <w:p w14:paraId="68233C3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 xml:space="preserve">呼吸道  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消化道</w:t>
            </w:r>
            <w:r>
              <w:rPr>
                <w:rFonts w:ascii="Times New Roman" w:hAnsi="Times New Roman" w:cs="Times New Roman"/>
                <w:spacing w:val="2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 xml:space="preserve">血液  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 xml:space="preserve">媒介  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 xml:space="preserve">接触  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 xml:space="preserve">母婴传播  </w:t>
            </w:r>
            <w:r>
              <w:rPr>
                <w:rFonts w:ascii="Times New Roman" w:hAnsi="Times New Roman" w:cs="Times New Roman"/>
                <w:spacing w:val="-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2"/>
                <w:lang w:eastAsia="zh-CN"/>
              </w:rPr>
              <w:t>性传播</w:t>
            </w:r>
          </w:p>
        </w:tc>
        <w:tc>
          <w:tcPr>
            <w:tcW w:w="1109" w:type="pct"/>
            <w:vAlign w:val="center"/>
          </w:tcPr>
          <w:p w14:paraId="2AC9886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2"/>
                <w:lang w:eastAsia="zh-CN"/>
              </w:rPr>
              <w:t>涉及遗传修饰生物体 （GMOs）</w:t>
            </w:r>
          </w:p>
        </w:tc>
        <w:tc>
          <w:tcPr>
            <w:tcW w:w="1691" w:type="pct"/>
            <w:vAlign w:val="center"/>
          </w:tcPr>
          <w:p w14:paraId="4C8287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spacing w:val="-2"/>
              </w:rPr>
              <w:t xml:space="preserve">是     </w:t>
            </w:r>
            <w:r>
              <w:rPr>
                <w:rFonts w:hint="eastAsia" w:ascii="Times New Roman" w:hAnsi="Times New Roman" w:eastAsia="宋体" w:cs="Times New Roman"/>
                <w:spacing w:val="-2"/>
                <w:lang w:eastAsia="zh-CN"/>
              </w:rPr>
              <w:t>□</w:t>
            </w:r>
            <w:r>
              <w:rPr>
                <w:rFonts w:ascii="Times New Roman" w:hAnsi="Times New Roman" w:eastAsia="宋体" w:cs="Times New Roman"/>
                <w:spacing w:val="-2"/>
              </w:rPr>
              <w:t>否</w:t>
            </w:r>
          </w:p>
        </w:tc>
      </w:tr>
      <w:tr w14:paraId="7EB619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4" w:hRule="atLeast"/>
        </w:trPr>
        <w:tc>
          <w:tcPr>
            <w:tcW w:w="943" w:type="pct"/>
            <w:vAlign w:val="center"/>
          </w:tcPr>
          <w:p w14:paraId="7802CE49">
            <w:pPr>
              <w:pStyle w:val="14"/>
              <w:spacing w:before="146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</w:rPr>
              <w:t>病原微生物</w:t>
            </w: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>简介</w:t>
            </w:r>
          </w:p>
        </w:tc>
        <w:tc>
          <w:tcPr>
            <w:tcW w:w="4056" w:type="pct"/>
            <w:gridSpan w:val="4"/>
            <w:vAlign w:val="center"/>
          </w:tcPr>
          <w:p w14:paraId="1EB0C659">
            <w:pPr>
              <w:spacing w:line="360" w:lineRule="auto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</w:tr>
      <w:tr w14:paraId="73A09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</w:trPr>
        <w:tc>
          <w:tcPr>
            <w:tcW w:w="943" w:type="pct"/>
            <w:vAlign w:val="center"/>
          </w:tcPr>
          <w:p w14:paraId="6F3FCA1D">
            <w:pPr>
              <w:pStyle w:val="14"/>
              <w:spacing w:before="146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>流行病学特征</w:t>
            </w:r>
          </w:p>
        </w:tc>
        <w:tc>
          <w:tcPr>
            <w:tcW w:w="4056" w:type="pct"/>
            <w:gridSpan w:val="4"/>
            <w:vAlign w:val="center"/>
          </w:tcPr>
          <w:p w14:paraId="66907D4B">
            <w:pPr>
              <w:spacing w:line="360" w:lineRule="auto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</w:tr>
      <w:tr w14:paraId="2CC495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3" w:hRule="atLeast"/>
        </w:trPr>
        <w:tc>
          <w:tcPr>
            <w:tcW w:w="943" w:type="pct"/>
            <w:vAlign w:val="center"/>
          </w:tcPr>
          <w:p w14:paraId="46A741B9">
            <w:pPr>
              <w:pStyle w:val="14"/>
              <w:spacing w:before="146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2"/>
                <w:sz w:val="21"/>
                <w:szCs w:val="21"/>
                <w:lang w:eastAsia="zh-CN"/>
              </w:rPr>
              <w:t>人</w:t>
            </w:r>
            <w:r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  <w:t>感染后的主要临床表现</w:t>
            </w:r>
          </w:p>
        </w:tc>
        <w:tc>
          <w:tcPr>
            <w:tcW w:w="4056" w:type="pct"/>
            <w:gridSpan w:val="4"/>
            <w:vAlign w:val="center"/>
          </w:tcPr>
          <w:p w14:paraId="22A98253">
            <w:pPr>
              <w:spacing w:line="360" w:lineRule="auto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</w:tr>
      <w:tr w14:paraId="3C68F2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3" w:hRule="atLeast"/>
        </w:trPr>
        <w:tc>
          <w:tcPr>
            <w:tcW w:w="943" w:type="pct"/>
            <w:vAlign w:val="center"/>
          </w:tcPr>
          <w:p w14:paraId="7963008B">
            <w:pPr>
              <w:pStyle w:val="14"/>
              <w:spacing w:before="146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Style w:val="15"/>
                <w:rFonts w:hint="default" w:ascii="Times New Roman" w:hAnsi="Times New Roman" w:cs="Times New Roman"/>
                <w:lang w:eastAsia="zh-CN" w:bidi="ar"/>
              </w:rPr>
              <w:t>对人的致病性、发病率和死亡率</w:t>
            </w:r>
          </w:p>
        </w:tc>
        <w:tc>
          <w:tcPr>
            <w:tcW w:w="4056" w:type="pct"/>
            <w:gridSpan w:val="4"/>
            <w:vAlign w:val="center"/>
          </w:tcPr>
          <w:p w14:paraId="50ED9726">
            <w:pPr>
              <w:spacing w:line="360" w:lineRule="auto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</w:tr>
      <w:tr w14:paraId="4217C5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43" w:type="pct"/>
            <w:vMerge w:val="restart"/>
            <w:vAlign w:val="center"/>
          </w:tcPr>
          <w:p w14:paraId="1A95B626">
            <w:pPr>
              <w:pStyle w:val="14"/>
              <w:spacing w:before="144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预防和治疗措施</w:t>
            </w:r>
          </w:p>
        </w:tc>
        <w:tc>
          <w:tcPr>
            <w:tcW w:w="4056" w:type="pct"/>
            <w:gridSpan w:val="4"/>
            <w:vAlign w:val="center"/>
          </w:tcPr>
          <w:p w14:paraId="725C6895">
            <w:pPr>
              <w:pStyle w:val="14"/>
              <w:spacing w:before="145" w:line="360" w:lineRule="auto"/>
              <w:ind w:left="113"/>
              <w:jc w:val="both"/>
              <w:rPr>
                <w:rFonts w:ascii="Times New Roman" w:hAnsi="Times New Roman" w:cs="Times New Roman"/>
                <w:spacing w:val="-1"/>
                <w:sz w:val="21"/>
                <w:szCs w:val="21"/>
                <w:u w:val="single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治疗药物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u w:val="single"/>
                <w:lang w:eastAsia="zh-CN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u w:val="single"/>
                <w:lang w:eastAsia="zh-CN"/>
              </w:rPr>
              <w:t xml:space="preserve">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u w:val="single"/>
                <w:lang w:eastAsia="zh-CN"/>
              </w:rPr>
              <w:t xml:space="preserve">   </w:t>
            </w:r>
          </w:p>
          <w:p w14:paraId="4748BACC">
            <w:pPr>
              <w:pStyle w:val="14"/>
              <w:spacing w:before="145" w:line="360" w:lineRule="auto"/>
              <w:ind w:left="113"/>
              <w:jc w:val="both"/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 xml:space="preserve">□疫苗                                                                                                                     </w:t>
            </w:r>
          </w:p>
          <w:p w14:paraId="138A64DB">
            <w:pPr>
              <w:pStyle w:val="14"/>
              <w:spacing w:before="145" w:line="360" w:lineRule="auto"/>
              <w:ind w:left="113"/>
              <w:jc w:val="both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 xml:space="preserve">□特异抗血清                                                                                                         </w:t>
            </w:r>
          </w:p>
        </w:tc>
      </w:tr>
      <w:tr w14:paraId="44683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43" w:type="pct"/>
            <w:vMerge w:val="continue"/>
            <w:vAlign w:val="center"/>
          </w:tcPr>
          <w:p w14:paraId="0CD8B2CC">
            <w:pPr>
              <w:pStyle w:val="14"/>
              <w:spacing w:before="145" w:line="360" w:lineRule="auto"/>
              <w:ind w:left="113" w:leftChars="0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  <w:tc>
          <w:tcPr>
            <w:tcW w:w="4056" w:type="pct"/>
            <w:gridSpan w:val="4"/>
            <w:vAlign w:val="center"/>
          </w:tcPr>
          <w:p w14:paraId="3DCFE162">
            <w:pPr>
              <w:pStyle w:val="14"/>
              <w:spacing w:before="145" w:line="360" w:lineRule="auto"/>
              <w:jc w:val="both"/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>详述人感染后的治疗措施：</w:t>
            </w:r>
          </w:p>
          <w:p w14:paraId="45A2F505">
            <w:pPr>
              <w:pStyle w:val="14"/>
              <w:spacing w:before="145" w:line="360" w:lineRule="auto"/>
              <w:jc w:val="both"/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</w:pPr>
          </w:p>
          <w:p w14:paraId="00E68790">
            <w:pPr>
              <w:pStyle w:val="14"/>
              <w:spacing w:before="145" w:line="360" w:lineRule="auto"/>
              <w:jc w:val="both"/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</w:pPr>
          </w:p>
          <w:p w14:paraId="04D3D357">
            <w:pPr>
              <w:pStyle w:val="14"/>
              <w:spacing w:before="145" w:line="360" w:lineRule="auto"/>
              <w:jc w:val="both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</w:p>
        </w:tc>
      </w:tr>
      <w:tr w14:paraId="259C71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43" w:type="pct"/>
            <w:vAlign w:val="center"/>
          </w:tcPr>
          <w:p w14:paraId="43AA1A21">
            <w:pPr>
              <w:pStyle w:val="14"/>
              <w:spacing w:before="59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消毒、灭菌方法</w:t>
            </w:r>
          </w:p>
        </w:tc>
        <w:tc>
          <w:tcPr>
            <w:tcW w:w="4056" w:type="pct"/>
            <w:gridSpan w:val="4"/>
            <w:vAlign w:val="center"/>
          </w:tcPr>
          <w:p w14:paraId="45A6F758">
            <w:pPr>
              <w:pStyle w:val="14"/>
              <w:spacing w:before="147"/>
              <w:ind w:left="111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化学法：有效消毒剂</w:t>
            </w:r>
            <w:r>
              <w:rPr>
                <w:rFonts w:ascii="Times New Roman" w:hAnsi="Times New Roman" w:cs="Times New Roman"/>
                <w:spacing w:val="15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  <w:u w:val="single"/>
                <w:lang w:eastAsia="zh-CN"/>
              </w:rPr>
              <w:t xml:space="preserve">    </w:t>
            </w:r>
            <w:r>
              <w:rPr>
                <w:rFonts w:hint="eastAsia" w:ascii="Times New Roman" w:hAnsi="Times New Roman" w:cs="Times New Roman"/>
                <w:sz w:val="21"/>
                <w:szCs w:val="21"/>
                <w:u w:val="single"/>
                <w:lang w:eastAsia="zh-CN"/>
              </w:rPr>
              <w:t xml:space="preserve">             </w:t>
            </w:r>
            <w:r>
              <w:rPr>
                <w:rFonts w:ascii="Times New Roman" w:hAnsi="Times New Roman" w:cs="Times New Roman"/>
                <w:sz w:val="21"/>
                <w:szCs w:val="21"/>
                <w:u w:val="single"/>
                <w:lang w:eastAsia="zh-CN"/>
              </w:rPr>
              <w:t xml:space="preserve">   </w:t>
            </w:r>
            <w:r>
              <w:rPr>
                <w:rFonts w:ascii="Times New Roman" w:hAnsi="Times New Roman" w:cs="Times New Roman"/>
                <w:spacing w:val="-65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；  2</w:t>
            </w:r>
            <w:r>
              <w:rPr>
                <w:rFonts w:ascii="Times New Roman" w:hAnsi="Times New Roman" w:cs="Times New Roman"/>
                <w:spacing w:val="6"/>
                <w:sz w:val="21"/>
                <w:szCs w:val="21"/>
                <w:u w:val="single"/>
                <w:lang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spacing w:val="6"/>
                <w:sz w:val="21"/>
                <w:szCs w:val="21"/>
                <w:u w:val="single"/>
                <w:lang w:eastAsia="zh-CN"/>
              </w:rPr>
              <w:t xml:space="preserve">        </w:t>
            </w:r>
            <w:r>
              <w:rPr>
                <w:color w:val="0000FF"/>
                <w:u w:val="single"/>
                <w:lang w:eastAsia="zh-CN"/>
              </w:rPr>
              <w:t xml:space="preserve"> </w:t>
            </w:r>
            <w:r>
              <w:rPr>
                <w:rFonts w:ascii="Times New Roman" w:hAnsi="Times New Roman" w:cs="Times New Roman"/>
                <w:spacing w:val="6"/>
                <w:sz w:val="21"/>
                <w:szCs w:val="21"/>
                <w:u w:val="single"/>
                <w:lang w:eastAsia="zh-CN"/>
              </w:rPr>
              <w:t xml:space="preserve">    </w:t>
            </w:r>
            <w:r>
              <w:rPr>
                <w:rFonts w:ascii="Times New Roman" w:hAnsi="Times New Roman" w:cs="Times New Roman"/>
                <w:spacing w:val="-4"/>
                <w:sz w:val="21"/>
                <w:szCs w:val="21"/>
                <w:lang w:eastAsia="zh-CN"/>
              </w:rPr>
              <w:t>；</w:t>
            </w:r>
          </w:p>
          <w:p w14:paraId="00C7A28E">
            <w:pPr>
              <w:pStyle w:val="14"/>
              <w:spacing w:before="254"/>
              <w:ind w:left="110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物理法：压力蒸汽灭菌器</w:t>
            </w: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；干热灭菌</w:t>
            </w: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；紫外线</w:t>
            </w:r>
            <w:r>
              <w:rPr>
                <w:rFonts w:hint="eastAsia" w:ascii="Times New Roman" w:hAnsi="Times New Roman" w:cs="Times New Roman"/>
                <w:spacing w:val="-1"/>
                <w:sz w:val="21"/>
                <w:szCs w:val="21"/>
                <w:lang w:eastAsia="zh-CN"/>
              </w:rPr>
              <w:t>□</w:t>
            </w:r>
            <w:r>
              <w:rPr>
                <w:rFonts w:ascii="Times New Roman" w:hAnsi="Times New Roman" w:cs="Times New Roman"/>
                <w:spacing w:val="-1"/>
                <w:sz w:val="21"/>
                <w:szCs w:val="21"/>
                <w:lang w:eastAsia="zh-CN"/>
              </w:rPr>
              <w:t>;</w:t>
            </w:r>
          </w:p>
          <w:p w14:paraId="36D3BF99">
            <w:pPr>
              <w:pStyle w:val="14"/>
              <w:spacing w:before="254"/>
              <w:ind w:left="111" w:leftChars="0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cs="Times New Roman"/>
                <w:spacing w:val="-11"/>
                <w:sz w:val="21"/>
                <w:szCs w:val="21"/>
              </w:rPr>
              <w:t>其他：</w:t>
            </w:r>
          </w:p>
        </w:tc>
      </w:tr>
      <w:tr w14:paraId="4D6BE8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5000" w:type="pct"/>
            <w:gridSpan w:val="5"/>
            <w:shd w:val="clear" w:color="auto" w:fill="D7D7D7" w:themeFill="background1" w:themeFillShade="D8"/>
            <w:vAlign w:val="center"/>
          </w:tcPr>
          <w:p w14:paraId="2B03D76B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pacing w:val="-2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1"/>
                <w:szCs w:val="21"/>
                <w:lang w:eastAsia="zh-CN"/>
              </w:rPr>
              <w:t>实验活动描述</w:t>
            </w:r>
          </w:p>
        </w:tc>
      </w:tr>
      <w:tr w14:paraId="79DFF6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26" w:hRule="atLeast"/>
        </w:trPr>
        <w:tc>
          <w:tcPr>
            <w:tcW w:w="943" w:type="pct"/>
            <w:vAlign w:val="center"/>
          </w:tcPr>
          <w:p w14:paraId="4D1D823A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2"/>
                <w:sz w:val="21"/>
                <w:szCs w:val="21"/>
                <w:lang w:eastAsia="zh-CN"/>
              </w:rPr>
              <w:t>实验操作</w:t>
            </w:r>
          </w:p>
        </w:tc>
        <w:tc>
          <w:tcPr>
            <w:tcW w:w="4056" w:type="pct"/>
            <w:gridSpan w:val="4"/>
            <w:vAlign w:val="center"/>
          </w:tcPr>
          <w:p w14:paraId="0019D3D3">
            <w:pPr>
              <w:pStyle w:val="7"/>
              <w:rPr>
                <w:rFonts w:ascii="宋体" w:hAnsi="宋体" w:eastAsia="宋体" w:cs="宋体"/>
                <w:color w:val="0000FF"/>
                <w:sz w:val="18"/>
                <w:szCs w:val="18"/>
                <w:lang w:eastAsia="zh-CN"/>
              </w:rPr>
            </w:pPr>
          </w:p>
        </w:tc>
      </w:tr>
      <w:tr w14:paraId="265022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0" w:hRule="atLeast"/>
        </w:trPr>
        <w:tc>
          <w:tcPr>
            <w:tcW w:w="943" w:type="pct"/>
            <w:vAlign w:val="center"/>
          </w:tcPr>
          <w:p w14:paraId="20037D10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2"/>
                <w:sz w:val="21"/>
                <w:szCs w:val="21"/>
                <w:lang w:eastAsia="zh-CN"/>
              </w:rPr>
              <w:t>实验观察、标本采集、检测指标</w:t>
            </w:r>
          </w:p>
        </w:tc>
        <w:tc>
          <w:tcPr>
            <w:tcW w:w="4056" w:type="pct"/>
            <w:gridSpan w:val="4"/>
            <w:vAlign w:val="center"/>
          </w:tcPr>
          <w:p w14:paraId="40E1824A">
            <w:pPr>
              <w:pStyle w:val="14"/>
              <w:spacing w:before="147" w:line="360" w:lineRule="auto"/>
              <w:rPr>
                <w:color w:val="0000FF"/>
                <w:lang w:eastAsia="zh-CN"/>
              </w:rPr>
            </w:pPr>
          </w:p>
        </w:tc>
      </w:tr>
      <w:tr w14:paraId="321B7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9" w:hRule="atLeast"/>
        </w:trPr>
        <w:tc>
          <w:tcPr>
            <w:tcW w:w="943" w:type="pct"/>
            <w:vAlign w:val="center"/>
          </w:tcPr>
          <w:p w14:paraId="6B4A7AF9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标本运输、标本处理、废弃物处理</w:t>
            </w:r>
          </w:p>
        </w:tc>
        <w:tc>
          <w:tcPr>
            <w:tcW w:w="4056" w:type="pct"/>
            <w:gridSpan w:val="4"/>
            <w:vAlign w:val="center"/>
          </w:tcPr>
          <w:p w14:paraId="235C970C">
            <w:pPr>
              <w:tabs>
                <w:tab w:val="left" w:pos="971"/>
              </w:tabs>
              <w:spacing w:line="360" w:lineRule="auto"/>
              <w:rPr>
                <w:rFonts w:ascii="宋体" w:hAnsi="宋体" w:eastAsia="宋体" w:cs="宋体"/>
                <w:color w:val="0000FF"/>
                <w:sz w:val="18"/>
                <w:szCs w:val="18"/>
                <w:lang w:eastAsia="zh-CN"/>
              </w:rPr>
            </w:pPr>
          </w:p>
        </w:tc>
      </w:tr>
      <w:tr w14:paraId="6426E1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5000" w:type="pct"/>
            <w:gridSpan w:val="5"/>
            <w:shd w:val="clear" w:color="auto" w:fill="D7D7D7" w:themeFill="background1" w:themeFillShade="D8"/>
            <w:vAlign w:val="center"/>
          </w:tcPr>
          <w:p w14:paraId="621BEB83">
            <w:pPr>
              <w:pStyle w:val="7"/>
              <w:tabs>
                <w:tab w:val="left" w:pos="3057"/>
              </w:tabs>
              <w:jc w:val="center"/>
              <w:rPr>
                <w:rFonts w:ascii="宋体" w:hAnsi="宋体" w:eastAsia="宋体" w:cs="宋体"/>
                <w:color w:val="0000FF"/>
                <w:sz w:val="18"/>
                <w:szCs w:val="18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pacing w:val="-2"/>
                <w:sz w:val="21"/>
                <w:lang w:eastAsia="zh-CN"/>
              </w:rPr>
              <w:t>实验过程风险分析（应全面考虑各项操作风险）</w:t>
            </w:r>
          </w:p>
        </w:tc>
      </w:tr>
      <w:tr w14:paraId="180D8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43" w:type="pct"/>
            <w:vAlign w:val="center"/>
          </w:tcPr>
          <w:p w14:paraId="42A4B37A">
            <w:pPr>
              <w:pStyle w:val="7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eastAsia="zh-CN"/>
              </w:rPr>
              <w:t>实验操作</w:t>
            </w:r>
          </w:p>
        </w:tc>
        <w:tc>
          <w:tcPr>
            <w:tcW w:w="973" w:type="pct"/>
            <w:tcBorders>
              <w:right w:val="single" w:color="auto" w:sz="4" w:space="0"/>
            </w:tcBorders>
            <w:vAlign w:val="center"/>
          </w:tcPr>
          <w:p w14:paraId="438624F7">
            <w:pPr>
              <w:pStyle w:val="7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eastAsia="zh-CN"/>
              </w:rPr>
              <w:t>可能存在的风险</w:t>
            </w:r>
          </w:p>
        </w:tc>
        <w:tc>
          <w:tcPr>
            <w:tcW w:w="139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44E2D0">
            <w:pPr>
              <w:pStyle w:val="7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eastAsia="zh-CN"/>
              </w:rPr>
              <w:t>预防措施</w:t>
            </w:r>
          </w:p>
        </w:tc>
        <w:tc>
          <w:tcPr>
            <w:tcW w:w="1691" w:type="pct"/>
            <w:tcBorders>
              <w:left w:val="single" w:color="auto" w:sz="4" w:space="0"/>
            </w:tcBorders>
            <w:vAlign w:val="center"/>
          </w:tcPr>
          <w:p w14:paraId="49BDF930">
            <w:pPr>
              <w:pStyle w:val="7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  <w:lang w:eastAsia="zh-CN"/>
              </w:rPr>
              <w:t>意外事故应急预案</w:t>
            </w:r>
          </w:p>
        </w:tc>
      </w:tr>
      <w:tr w14:paraId="0A16DA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4" w:hRule="atLeast"/>
        </w:trPr>
        <w:tc>
          <w:tcPr>
            <w:tcW w:w="943" w:type="pct"/>
            <w:vAlign w:val="center"/>
          </w:tcPr>
          <w:p w14:paraId="59DC4B81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vAlign w:val="center"/>
          </w:tcPr>
          <w:p w14:paraId="73498933">
            <w:pPr>
              <w:pStyle w:val="7"/>
              <w:spacing w:line="360" w:lineRule="auto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39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215499">
            <w:pPr>
              <w:pStyle w:val="7"/>
              <w:spacing w:line="360" w:lineRule="auto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  <w:tc>
          <w:tcPr>
            <w:tcW w:w="1691" w:type="pct"/>
            <w:tcBorders>
              <w:left w:val="single" w:color="auto" w:sz="4" w:space="0"/>
            </w:tcBorders>
            <w:vAlign w:val="center"/>
          </w:tcPr>
          <w:p w14:paraId="04B76127">
            <w:pPr>
              <w:pStyle w:val="7"/>
              <w:spacing w:line="360" w:lineRule="auto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</w:p>
        </w:tc>
      </w:tr>
      <w:tr w14:paraId="3B9ED2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0" w:hRule="atLeast"/>
        </w:trPr>
        <w:tc>
          <w:tcPr>
            <w:tcW w:w="943" w:type="pct"/>
            <w:vAlign w:val="center"/>
          </w:tcPr>
          <w:p w14:paraId="29C574F7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vAlign w:val="center"/>
          </w:tcPr>
          <w:p w14:paraId="1724EF84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9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054EE0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91" w:type="pct"/>
            <w:tcBorders>
              <w:left w:val="single" w:color="auto" w:sz="4" w:space="0"/>
            </w:tcBorders>
            <w:vAlign w:val="center"/>
          </w:tcPr>
          <w:p w14:paraId="09AFE2DC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7FF19B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943" w:type="pct"/>
            <w:vAlign w:val="center"/>
          </w:tcPr>
          <w:p w14:paraId="570194F7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vAlign w:val="center"/>
          </w:tcPr>
          <w:p w14:paraId="72BCA4B7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9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A07EA47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91" w:type="pct"/>
            <w:tcBorders>
              <w:left w:val="single" w:color="auto" w:sz="4" w:space="0"/>
            </w:tcBorders>
            <w:vAlign w:val="center"/>
          </w:tcPr>
          <w:p w14:paraId="2CB391EA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0991FE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943" w:type="pct"/>
            <w:vAlign w:val="center"/>
          </w:tcPr>
          <w:p w14:paraId="72F94A63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vAlign w:val="center"/>
          </w:tcPr>
          <w:p w14:paraId="60A7BB50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9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C9D5F0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91" w:type="pct"/>
            <w:tcBorders>
              <w:left w:val="single" w:color="auto" w:sz="4" w:space="0"/>
            </w:tcBorders>
            <w:vAlign w:val="center"/>
          </w:tcPr>
          <w:p w14:paraId="632124EA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412A3F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0" w:hRule="atLeast"/>
        </w:trPr>
        <w:tc>
          <w:tcPr>
            <w:tcW w:w="943" w:type="pct"/>
            <w:vAlign w:val="center"/>
          </w:tcPr>
          <w:p w14:paraId="40EA9C81">
            <w:pPr>
              <w:pStyle w:val="14"/>
              <w:spacing w:before="147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973" w:type="pct"/>
            <w:tcBorders>
              <w:right w:val="single" w:color="auto" w:sz="4" w:space="0"/>
            </w:tcBorders>
            <w:vAlign w:val="center"/>
          </w:tcPr>
          <w:p w14:paraId="0382DA42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391" w:type="pct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FBBDD7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691" w:type="pct"/>
            <w:tcBorders>
              <w:left w:val="single" w:color="auto" w:sz="4" w:space="0"/>
            </w:tcBorders>
            <w:vAlign w:val="center"/>
          </w:tcPr>
          <w:p w14:paraId="4DAEACDC">
            <w:pPr>
              <w:pStyle w:val="7"/>
              <w:spacing w:line="360" w:lineRule="auto"/>
              <w:jc w:val="center"/>
              <w:rPr>
                <w:rFonts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</w:tr>
      <w:tr w14:paraId="065AE6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3" w:hRule="atLeast"/>
        </w:trPr>
        <w:tc>
          <w:tcPr>
            <w:tcW w:w="943" w:type="pct"/>
            <w:vAlign w:val="center"/>
          </w:tcPr>
          <w:p w14:paraId="6A1737D1">
            <w:pPr>
              <w:pStyle w:val="14"/>
              <w:spacing w:before="59" w:line="360" w:lineRule="auto"/>
              <w:jc w:val="center"/>
              <w:rPr>
                <w:rFonts w:ascii="Times New Roman" w:hAnsi="Times New Roman" w:cs="Times New Roman"/>
                <w:spacing w:val="-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-2"/>
                <w:sz w:val="21"/>
                <w:szCs w:val="21"/>
                <w:lang w:eastAsia="zh-CN"/>
              </w:rPr>
              <w:t>参考文献列表</w:t>
            </w:r>
          </w:p>
        </w:tc>
        <w:tc>
          <w:tcPr>
            <w:tcW w:w="4056" w:type="pct"/>
            <w:gridSpan w:val="4"/>
            <w:vAlign w:val="center"/>
          </w:tcPr>
          <w:p w14:paraId="17C547A9">
            <w:pPr>
              <w:pStyle w:val="14"/>
              <w:spacing w:before="145"/>
              <w:jc w:val="both"/>
              <w:rPr>
                <w:rFonts w:ascii="Times New Roman" w:hAnsi="Times New Roman" w:cs="Times New Roman"/>
                <w:spacing w:val="-11"/>
                <w:sz w:val="21"/>
                <w:szCs w:val="21"/>
                <w:lang w:eastAsia="zh-CN"/>
              </w:rPr>
            </w:pPr>
          </w:p>
        </w:tc>
      </w:tr>
    </w:tbl>
    <w:p w14:paraId="589293F2">
      <w:pPr>
        <w:pStyle w:val="14"/>
        <w:spacing w:before="147" w:line="360" w:lineRule="auto"/>
        <w:jc w:val="both"/>
        <w:rPr>
          <w:rFonts w:ascii="Times New Roman" w:hAnsi="Times New Roman" w:cs="Times New Roman"/>
          <w:spacing w:val="-2"/>
          <w:lang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7" w:h="16839"/>
      <w:pgMar w:top="1716" w:right="1130" w:bottom="1340" w:left="1785" w:header="1391" w:footer="1106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C9AAE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A97D62">
                          <w:pPr>
                            <w:pStyle w:val="5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第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页 共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A97D62">
                    <w:pPr>
                      <w:pStyle w:val="5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第 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</w:rPr>
                      <w:t xml:space="preserve"> 页 共 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NUMPAGES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52DAF6">
    <w:pPr>
      <w:pStyle w:val="4"/>
      <w:spacing w:before="56" w:line="227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638"/>
    <w:rsid w:val="00012C2A"/>
    <w:rsid w:val="00027D53"/>
    <w:rsid w:val="002257A9"/>
    <w:rsid w:val="002525C0"/>
    <w:rsid w:val="00256612"/>
    <w:rsid w:val="00391AB2"/>
    <w:rsid w:val="005F7F0C"/>
    <w:rsid w:val="00890E46"/>
    <w:rsid w:val="00984651"/>
    <w:rsid w:val="00B705B2"/>
    <w:rsid w:val="00BA2FC4"/>
    <w:rsid w:val="00DB1638"/>
    <w:rsid w:val="00EB5F2D"/>
    <w:rsid w:val="02BF77F6"/>
    <w:rsid w:val="0300236B"/>
    <w:rsid w:val="03013380"/>
    <w:rsid w:val="05D3081E"/>
    <w:rsid w:val="08337B59"/>
    <w:rsid w:val="08A5565A"/>
    <w:rsid w:val="08EF448A"/>
    <w:rsid w:val="0A752916"/>
    <w:rsid w:val="0ADB2CF4"/>
    <w:rsid w:val="0F8C6CB2"/>
    <w:rsid w:val="10C83D1A"/>
    <w:rsid w:val="1158058B"/>
    <w:rsid w:val="11954D2B"/>
    <w:rsid w:val="1CC61A56"/>
    <w:rsid w:val="1F5C3FAB"/>
    <w:rsid w:val="214F2D99"/>
    <w:rsid w:val="218B6F16"/>
    <w:rsid w:val="21DA3EA1"/>
    <w:rsid w:val="24557862"/>
    <w:rsid w:val="26B076F9"/>
    <w:rsid w:val="284204F2"/>
    <w:rsid w:val="2C9B0F3B"/>
    <w:rsid w:val="2FEA4DD0"/>
    <w:rsid w:val="302B3036"/>
    <w:rsid w:val="318134A3"/>
    <w:rsid w:val="34480B4A"/>
    <w:rsid w:val="35364962"/>
    <w:rsid w:val="354E592B"/>
    <w:rsid w:val="35B37F8A"/>
    <w:rsid w:val="3CDD4B9F"/>
    <w:rsid w:val="3D33048A"/>
    <w:rsid w:val="3D8748D6"/>
    <w:rsid w:val="43E4263E"/>
    <w:rsid w:val="447033D6"/>
    <w:rsid w:val="45EC3A2B"/>
    <w:rsid w:val="485853A8"/>
    <w:rsid w:val="4DB444EC"/>
    <w:rsid w:val="530F606A"/>
    <w:rsid w:val="54BC0A6D"/>
    <w:rsid w:val="54D073AC"/>
    <w:rsid w:val="551423C4"/>
    <w:rsid w:val="56F473D8"/>
    <w:rsid w:val="578909AC"/>
    <w:rsid w:val="58976571"/>
    <w:rsid w:val="5B415572"/>
    <w:rsid w:val="5BCA38B3"/>
    <w:rsid w:val="5C247A88"/>
    <w:rsid w:val="5C7560D1"/>
    <w:rsid w:val="5DB837D7"/>
    <w:rsid w:val="5EE1402F"/>
    <w:rsid w:val="5F7D0984"/>
    <w:rsid w:val="6A6124E1"/>
    <w:rsid w:val="6D002FBE"/>
    <w:rsid w:val="6E1419D8"/>
    <w:rsid w:val="6E623983"/>
    <w:rsid w:val="6F7B1CBF"/>
    <w:rsid w:val="70CB360E"/>
    <w:rsid w:val="732A7510"/>
    <w:rsid w:val="763322A5"/>
    <w:rsid w:val="76642780"/>
    <w:rsid w:val="792D475A"/>
    <w:rsid w:val="7BE2764E"/>
    <w:rsid w:val="7E292FEF"/>
    <w:rsid w:val="7E4000F6"/>
    <w:rsid w:val="7ED1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Autospacing="1" w:afterAutospacing="1"/>
      <w:outlineLvl w:val="3"/>
    </w:pPr>
    <w:rPr>
      <w:rFonts w:hint="eastAsia" w:ascii="宋体" w:hAnsi="宋体" w:eastAsia="宋体" w:cs="Times New Roman"/>
      <w:b/>
      <w:bCs/>
      <w:sz w:val="24"/>
      <w:szCs w:val="24"/>
      <w:lang w:eastAsia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</w:style>
  <w:style w:type="paragraph" w:styleId="4">
    <w:name w:val="Body Text"/>
    <w:basedOn w:val="1"/>
    <w:semiHidden/>
    <w:qFormat/>
    <w:uiPriority w:val="0"/>
    <w:rPr>
      <w:rFonts w:ascii="黑体" w:hAnsi="黑体" w:eastAsia="黑体" w:cs="黑体"/>
    </w:rPr>
  </w:style>
  <w:style w:type="paragraph" w:styleId="5">
    <w:name w:val="footer"/>
    <w:basedOn w:val="1"/>
    <w:link w:val="1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rPr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Emphasis"/>
    <w:basedOn w:val="9"/>
    <w:qFormat/>
    <w:uiPriority w:val="0"/>
    <w:rPr>
      <w:i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5">
    <w:name w:val="font11"/>
    <w:basedOn w:val="9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页眉 字符"/>
    <w:basedOn w:val="9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7">
    <w:name w:val="页脚 字符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222</Words>
  <Characters>225</Characters>
  <Lines>256</Lines>
  <Paragraphs>198</Paragraphs>
  <TotalTime>15</TotalTime>
  <ScaleCrop>false</ScaleCrop>
  <LinksUpToDate>false</LinksUpToDate>
  <CharactersWithSpaces>588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2026-01-22T23:17:00Z</dcterms:created>
  <dc:creator>CNIS</dc:creator>
  <cp:lastModifiedBy>浓茶</cp:lastModifiedBy>
  <dcterms:modified xsi:type="dcterms:W3CDTF">2026-09-28T08:11:54Z</dcterms:modified>
  <dc:title>标准名称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2025-10-29T09:42:06Z</vt:filetime>
  </property>
  <property fmtid="{D5CDD505-2E9C-101B-9397-08002B2CF9AE}" pid="4" name="KSOTemplateDocerSaveRecord">
    <vt:lpwstr>eyJoZGlkIjoiOGIzZGM4MmMxMmIyYWIyOTlhMWY1ZmI0MmEyNWNkNzMiLCJ1c2VySWQiOiIzOTkwMzg1MDMifQ==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A27D0B1511BB4A45AE93DF7394C5344D_13</vt:lpwstr>
  </property>
</Properties>
</file>