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AA" w:rsidRDefault="001508B4">
      <w:pPr>
        <w:pStyle w:val="Subtitle"/>
        <w:spacing w:after="0"/>
        <w:jc w:val="left"/>
        <w:rPr>
          <w:rStyle w:val="SubtitleChar"/>
          <w:rFonts w:asciiTheme="minorHAnsi" w:eastAsia="楷体" w:hAnsiTheme="minorHAnsi" w:cstheme="minorHAnsi"/>
          <w:sz w:val="21"/>
          <w:szCs w:val="21"/>
        </w:rPr>
      </w:pPr>
      <w:r>
        <w:rPr>
          <w:rFonts w:ascii="黑体" w:eastAsia="黑体" w:hAnsi="黑体" w:cstheme="minorHAnsi"/>
          <w:bCs w:val="0"/>
          <w:color w:val="0070C0"/>
          <w:kern w:val="2"/>
          <w:sz w:val="21"/>
          <w:szCs w:val="21"/>
        </w:rPr>
        <w:t>数据库名称：</w:t>
      </w:r>
      <w:r>
        <w:rPr>
          <w:rStyle w:val="SubtitleChar"/>
          <w:rFonts w:asciiTheme="minorHAnsi" w:eastAsia="楷体" w:hAnsiTheme="minorHAnsi" w:cstheme="minorHAnsi"/>
          <w:sz w:val="21"/>
          <w:szCs w:val="21"/>
        </w:rPr>
        <w:t>威科</w:t>
      </w:r>
      <w:r>
        <w:rPr>
          <w:rStyle w:val="SubtitleChar"/>
          <w:rFonts w:asciiTheme="minorHAnsi" w:eastAsia="楷体" w:hAnsiTheme="minorHAnsi" w:cstheme="minorHAnsi" w:hint="eastAsia"/>
          <w:sz w:val="21"/>
          <w:szCs w:val="21"/>
        </w:rPr>
        <w:t>先行</w:t>
      </w:r>
      <w:r>
        <w:rPr>
          <w:rStyle w:val="SubtitleChar"/>
          <w:rFonts w:asciiTheme="minorHAnsi" w:eastAsia="楷体" w:hAnsiTheme="minorHAnsi" w:cstheme="minorHAnsi" w:hint="eastAsia"/>
          <w:sz w:val="21"/>
          <w:szCs w:val="21"/>
        </w:rPr>
        <w:t xml:space="preserve"> </w:t>
      </w:r>
      <w:r>
        <w:rPr>
          <w:rStyle w:val="SubtitleChar"/>
          <w:rFonts w:asciiTheme="minorHAnsi" w:eastAsia="楷体" w:hAnsiTheme="minorHAnsi" w:cstheme="minorHAnsi" w:hint="eastAsia"/>
          <w:sz w:val="21"/>
          <w:szCs w:val="21"/>
        </w:rPr>
        <w:t>人力资源信息库</w:t>
      </w:r>
    </w:p>
    <w:p w:rsidR="00FA6EAA" w:rsidRDefault="001508B4">
      <w:pPr>
        <w:widowControl/>
        <w:spacing w:line="276" w:lineRule="auto"/>
        <w:jc w:val="left"/>
        <w:rPr>
          <w:rFonts w:ascii="黑体" w:eastAsia="黑体" w:hAnsi="黑体" w:cstheme="minorHAnsi"/>
          <w:b/>
          <w:color w:val="0070C0"/>
          <w:szCs w:val="21"/>
        </w:rPr>
      </w:pPr>
      <w:r>
        <w:rPr>
          <w:rFonts w:ascii="黑体" w:eastAsia="黑体" w:hAnsi="黑体" w:cstheme="minorHAnsi"/>
          <w:b/>
          <w:color w:val="0070C0"/>
          <w:szCs w:val="21"/>
        </w:rPr>
        <w:t>数据库地址</w:t>
      </w:r>
      <w:r>
        <w:rPr>
          <w:rFonts w:eastAsia="楷体" w:cstheme="minorHAnsi"/>
          <w:szCs w:val="21"/>
        </w:rPr>
        <w:t>：</w:t>
      </w:r>
      <w:hyperlink r:id="rId6" w:history="1">
        <w:r>
          <w:rPr>
            <w:rStyle w:val="Hyperlink"/>
            <w:rFonts w:hint="eastAsia"/>
          </w:rPr>
          <w:t>www</w:t>
        </w:r>
        <w:r>
          <w:rPr>
            <w:rStyle w:val="Hyperlink"/>
          </w:rPr>
          <w:t>.wkinfo.com.cn</w:t>
        </w:r>
      </w:hyperlink>
      <w:r>
        <w:rPr>
          <w:rFonts w:hint="eastAsia"/>
        </w:rPr>
        <w:t xml:space="preserve"> </w:t>
      </w:r>
    </w:p>
    <w:p w:rsidR="00FA6EAA" w:rsidRDefault="001508B4">
      <w:pPr>
        <w:widowControl/>
        <w:spacing w:line="276" w:lineRule="auto"/>
        <w:jc w:val="left"/>
        <w:rPr>
          <w:rFonts w:eastAsia="楷体" w:cstheme="minorHAnsi"/>
          <w:szCs w:val="21"/>
        </w:rPr>
      </w:pPr>
      <w:r>
        <w:rPr>
          <w:rFonts w:ascii="黑体" w:eastAsia="黑体" w:hAnsi="黑体" w:cstheme="minorHAnsi"/>
          <w:b/>
          <w:color w:val="0070C0"/>
          <w:szCs w:val="21"/>
        </w:rPr>
        <w:t>数据库类型</w:t>
      </w:r>
      <w:r>
        <w:rPr>
          <w:rFonts w:eastAsia="楷体" w:cstheme="minorHAnsi"/>
          <w:szCs w:val="21"/>
        </w:rPr>
        <w:t>：</w:t>
      </w:r>
      <w:r>
        <w:rPr>
          <w:rFonts w:eastAsia="楷体" w:cstheme="minorHAnsi" w:hint="eastAsia"/>
          <w:szCs w:val="21"/>
        </w:rPr>
        <w:t xml:space="preserve"> </w:t>
      </w:r>
      <w:r>
        <w:rPr>
          <w:rFonts w:eastAsia="楷体" w:cstheme="minorHAnsi" w:hint="eastAsia"/>
          <w:szCs w:val="21"/>
        </w:rPr>
        <w:t>法律法规、文献、评论、分析</w:t>
      </w:r>
    </w:p>
    <w:p w:rsidR="00E86428" w:rsidRDefault="00E86428" w:rsidP="00E86428">
      <w:pPr>
        <w:pStyle w:val="NoSpacing1"/>
      </w:pPr>
      <w:r>
        <w:rPr>
          <w:rFonts w:ascii="黑体" w:eastAsia="黑体" w:hAnsi="黑体" w:hint="eastAsia"/>
          <w:b/>
          <w:color w:val="0070C0"/>
        </w:rPr>
        <w:t>试用期限：</w:t>
      </w:r>
      <w:r>
        <w:rPr>
          <w:rFonts w:ascii="楷体" w:eastAsia="楷体" w:hAnsi="楷体" w:hint="eastAsia"/>
        </w:rPr>
        <w:t xml:space="preserve"> 2017年3月30日-2017年5月29日</w:t>
      </w:r>
    </w:p>
    <w:p w:rsidR="00FA6EAA" w:rsidRDefault="001508B4">
      <w:pPr>
        <w:spacing w:line="276" w:lineRule="auto"/>
        <w:rPr>
          <w:rFonts w:eastAsia="楷体" w:cstheme="minorHAnsi"/>
          <w:szCs w:val="21"/>
        </w:rPr>
      </w:pPr>
      <w:r>
        <w:rPr>
          <w:rFonts w:ascii="黑体" w:eastAsia="黑体" w:hAnsi="黑体" w:cstheme="minorHAnsi"/>
          <w:b/>
          <w:color w:val="0070C0"/>
          <w:szCs w:val="21"/>
        </w:rPr>
        <w:t>访问年限</w:t>
      </w:r>
      <w:r>
        <w:rPr>
          <w:rFonts w:eastAsia="楷体" w:cstheme="minorHAnsi"/>
          <w:szCs w:val="21"/>
        </w:rPr>
        <w:t>：</w:t>
      </w:r>
      <w:r>
        <w:rPr>
          <w:rFonts w:eastAsia="楷体" w:cstheme="minorHAnsi" w:hint="eastAsia"/>
          <w:szCs w:val="21"/>
        </w:rPr>
        <w:t xml:space="preserve">   </w:t>
      </w:r>
      <w:r>
        <w:rPr>
          <w:rFonts w:eastAsia="楷体" w:cstheme="minorHAnsi" w:hint="eastAsia"/>
          <w:szCs w:val="21"/>
        </w:rPr>
        <w:t>实时更新</w:t>
      </w:r>
    </w:p>
    <w:p w:rsidR="00FA6EAA" w:rsidRDefault="001508B4">
      <w:pPr>
        <w:spacing w:line="276" w:lineRule="auto"/>
        <w:ind w:left="1265" w:hangingChars="600" w:hanging="1265"/>
        <w:rPr>
          <w:rFonts w:eastAsia="楷体" w:cstheme="minorHAnsi"/>
          <w:bCs/>
          <w:kern w:val="0"/>
          <w:szCs w:val="21"/>
        </w:rPr>
      </w:pPr>
      <w:r>
        <w:rPr>
          <w:rFonts w:ascii="黑体" w:eastAsia="黑体" w:hAnsi="黑体" w:cstheme="minorHAnsi" w:hint="eastAsia"/>
          <w:b/>
          <w:color w:val="0070C0"/>
          <w:szCs w:val="21"/>
        </w:rPr>
        <w:t>内容</w:t>
      </w:r>
      <w:r>
        <w:rPr>
          <w:rFonts w:ascii="黑体" w:eastAsia="黑体" w:hAnsi="黑体" w:cstheme="minorHAnsi"/>
          <w:b/>
          <w:color w:val="0070C0"/>
          <w:szCs w:val="21"/>
        </w:rPr>
        <w:t>范围</w:t>
      </w:r>
      <w:r>
        <w:rPr>
          <w:rFonts w:eastAsia="楷体" w:cstheme="minorHAnsi"/>
          <w:szCs w:val="21"/>
        </w:rPr>
        <w:t>：</w:t>
      </w:r>
      <w:r>
        <w:rPr>
          <w:rFonts w:eastAsia="楷体" w:cstheme="minorHAnsi" w:hint="eastAsia"/>
          <w:szCs w:val="21"/>
        </w:rPr>
        <w:t xml:space="preserve">  </w:t>
      </w:r>
      <w:r>
        <w:rPr>
          <w:rFonts w:eastAsia="楷体" w:cstheme="minorHAnsi" w:hint="eastAsia"/>
          <w:bCs/>
          <w:kern w:val="0"/>
          <w:szCs w:val="21"/>
        </w:rPr>
        <w:t xml:space="preserve"> </w:t>
      </w:r>
      <w:r>
        <w:rPr>
          <w:rFonts w:eastAsia="楷体" w:cstheme="minorHAnsi" w:hint="eastAsia"/>
          <w:bCs/>
          <w:kern w:val="0"/>
          <w:szCs w:val="21"/>
        </w:rPr>
        <w:t>劳动法</w:t>
      </w:r>
      <w:r>
        <w:rPr>
          <w:rFonts w:eastAsia="楷体" w:cstheme="minorHAnsi" w:hint="eastAsia"/>
          <w:bCs/>
          <w:kern w:val="0"/>
          <w:szCs w:val="21"/>
        </w:rPr>
        <w:t xml:space="preserve"> </w:t>
      </w:r>
      <w:r>
        <w:rPr>
          <w:rFonts w:eastAsia="楷体" w:cstheme="minorHAnsi" w:hint="eastAsia"/>
          <w:bCs/>
          <w:kern w:val="0"/>
          <w:szCs w:val="21"/>
        </w:rPr>
        <w:t>人力资源</w:t>
      </w:r>
      <w:bookmarkStart w:id="0" w:name="_GoBack"/>
      <w:bookmarkEnd w:id="0"/>
    </w:p>
    <w:p w:rsidR="00FA6EAA" w:rsidRDefault="001508B4">
      <w:pPr>
        <w:spacing w:line="276" w:lineRule="auto"/>
        <w:rPr>
          <w:rFonts w:eastAsia="楷体" w:cstheme="minorHAnsi"/>
          <w:bCs/>
          <w:kern w:val="0"/>
          <w:szCs w:val="21"/>
        </w:rPr>
      </w:pPr>
      <w:r>
        <w:rPr>
          <w:rFonts w:ascii="黑体" w:eastAsia="黑体" w:hAnsi="黑体" w:cstheme="minorHAnsi"/>
          <w:b/>
          <w:color w:val="0070C0"/>
          <w:szCs w:val="21"/>
        </w:rPr>
        <w:t>语种</w:t>
      </w:r>
      <w:r>
        <w:rPr>
          <w:rFonts w:eastAsia="楷体" w:cstheme="minorHAnsi"/>
          <w:bCs/>
          <w:kern w:val="0"/>
          <w:szCs w:val="21"/>
        </w:rPr>
        <w:t>：</w:t>
      </w:r>
      <w:r>
        <w:rPr>
          <w:rFonts w:eastAsia="楷体" w:cstheme="minorHAnsi" w:hint="eastAsia"/>
          <w:bCs/>
          <w:kern w:val="0"/>
          <w:szCs w:val="21"/>
        </w:rPr>
        <w:t xml:space="preserve">       </w:t>
      </w:r>
      <w:r>
        <w:rPr>
          <w:rFonts w:eastAsia="楷体" w:cstheme="minorHAnsi" w:hint="eastAsia"/>
          <w:bCs/>
          <w:kern w:val="0"/>
          <w:szCs w:val="21"/>
        </w:rPr>
        <w:t>中英文双语</w:t>
      </w:r>
    </w:p>
    <w:p w:rsidR="00FA6EAA" w:rsidRDefault="001508B4">
      <w:pPr>
        <w:spacing w:line="276" w:lineRule="auto"/>
      </w:pPr>
      <w:r>
        <w:rPr>
          <w:rFonts w:ascii="黑体" w:eastAsia="黑体" w:hAnsi="黑体" w:cstheme="minorHAnsi"/>
          <w:b/>
          <w:color w:val="0070C0"/>
          <w:szCs w:val="21"/>
        </w:rPr>
        <w:t>使用指南</w:t>
      </w:r>
      <w:r>
        <w:rPr>
          <w:rFonts w:eastAsia="楷体" w:cstheme="minorHAnsi"/>
          <w:bCs/>
          <w:kern w:val="0"/>
          <w:szCs w:val="21"/>
        </w:rPr>
        <w:t>：</w:t>
      </w:r>
      <w:r>
        <w:rPr>
          <w:rFonts w:eastAsia="楷体" w:cstheme="minorHAnsi" w:hint="eastAsia"/>
          <w:bCs/>
          <w:kern w:val="0"/>
          <w:szCs w:val="21"/>
        </w:rPr>
        <w:t xml:space="preserve">  </w:t>
      </w:r>
      <w:r>
        <w:t>http://hr.wkinfo.com.cn</w:t>
      </w:r>
    </w:p>
    <w:p w:rsidR="00FA6EAA" w:rsidRDefault="001508B4">
      <w:pPr>
        <w:spacing w:line="276" w:lineRule="auto"/>
        <w:rPr>
          <w:rFonts w:ascii="楷体" w:eastAsia="楷体" w:hAnsi="楷体" w:cstheme="minorHAnsi"/>
          <w:bCs/>
          <w:kern w:val="0"/>
          <w:szCs w:val="21"/>
        </w:rPr>
      </w:pPr>
      <w:r>
        <w:rPr>
          <w:rFonts w:ascii="黑体" w:eastAsia="黑体" w:hAnsi="黑体" w:cstheme="minorHAnsi"/>
          <w:b/>
          <w:color w:val="0070C0"/>
          <w:szCs w:val="21"/>
        </w:rPr>
        <w:t>简介</w:t>
      </w:r>
      <w:r>
        <w:rPr>
          <w:rFonts w:eastAsia="楷体" w:cstheme="minorHAnsi"/>
          <w:bCs/>
          <w:kern w:val="0"/>
          <w:szCs w:val="21"/>
        </w:rPr>
        <w:t>：</w:t>
      </w:r>
      <w:r>
        <w:rPr>
          <w:rFonts w:eastAsia="楷体" w:cstheme="minorHAnsi" w:hint="eastAsia"/>
          <w:bCs/>
          <w:kern w:val="0"/>
          <w:szCs w:val="21"/>
        </w:rPr>
        <w:t xml:space="preserve">   </w:t>
      </w:r>
      <w:r>
        <w:rPr>
          <w:rFonts w:ascii="楷体" w:eastAsia="楷体" w:hAnsi="楷体" w:cstheme="minorHAnsi" w:hint="eastAsia"/>
          <w:bCs/>
          <w:kern w:val="0"/>
          <w:szCs w:val="21"/>
        </w:rPr>
        <w:t xml:space="preserve">   </w:t>
      </w:r>
    </w:p>
    <w:p w:rsidR="00FA6EAA" w:rsidRDefault="001508B4">
      <w:pPr>
        <w:autoSpaceDE w:val="0"/>
        <w:autoSpaceDN w:val="0"/>
        <w:adjustRightInd w:val="0"/>
        <w:jc w:val="left"/>
        <w:rPr>
          <w:rFonts w:ascii="楷体" w:eastAsia="楷体" w:hAnsi="楷体" w:cs="幼圆"/>
          <w:kern w:val="0"/>
          <w:szCs w:val="21"/>
        </w:rPr>
      </w:pPr>
      <w:r>
        <w:rPr>
          <w:rFonts w:ascii="楷体" w:eastAsia="楷体" w:hAnsi="楷体" w:cs="幼圆" w:hint="eastAsia"/>
          <w:kern w:val="0"/>
          <w:szCs w:val="21"/>
        </w:rPr>
        <w:t>威科先行人力资源库是专门为人力资源专业人士及劳动法研究人员专门设计的，按主题划分为招聘入职、劳动合同、工会、集体谈判、企业内部管理、薪酬福利、社会保险、工作时间、劳动保护、劳动争议、境外人士在华就业等板块及子版块。</w:t>
      </w:r>
    </w:p>
    <w:p w:rsidR="00FA6EAA" w:rsidRDefault="001508B4">
      <w:pPr>
        <w:pStyle w:val="Subtitle"/>
        <w:jc w:val="left"/>
        <w:rPr>
          <w:sz w:val="28"/>
          <w:szCs w:val="28"/>
        </w:rPr>
      </w:pPr>
      <w:r>
        <w:rPr>
          <w:rFonts w:hint="eastAsia"/>
          <w:sz w:val="28"/>
          <w:szCs w:val="28"/>
        </w:rPr>
        <w:t>内容涵盖：</w:t>
      </w:r>
    </w:p>
    <w:p w:rsidR="00FA6EAA" w:rsidRDefault="001508B4">
      <w:pPr>
        <w:pStyle w:val="ListParagraph1"/>
        <w:numPr>
          <w:ilvl w:val="0"/>
          <w:numId w:val="1"/>
        </w:numPr>
        <w:autoSpaceDE w:val="0"/>
        <w:autoSpaceDN w:val="0"/>
        <w:adjustRightInd w:val="0"/>
        <w:spacing w:line="300" w:lineRule="exact"/>
        <w:ind w:firstLine="402"/>
        <w:rPr>
          <w:rFonts w:ascii="新宋体" w:eastAsia="新宋体" w:hAnsi="新宋体"/>
          <w:bCs/>
          <w:sz w:val="20"/>
          <w:szCs w:val="20"/>
        </w:rPr>
      </w:pPr>
      <w:r>
        <w:rPr>
          <w:rFonts w:ascii="新宋体" w:eastAsia="新宋体" w:hAnsi="新宋体" w:hint="eastAsia"/>
          <w:b/>
          <w:sz w:val="20"/>
          <w:szCs w:val="20"/>
        </w:rPr>
        <w:t>新闻：</w:t>
      </w:r>
      <w:r>
        <w:rPr>
          <w:rFonts w:ascii="新宋体" w:eastAsia="新宋体" w:hAnsi="新宋体" w:hint="eastAsia"/>
          <w:bCs/>
          <w:sz w:val="20"/>
          <w:szCs w:val="20"/>
        </w:rPr>
        <w:t>提供中英双语新闻服务，涵盖当日新颁布的劳动法规、案件聚焦等内容。</w:t>
      </w:r>
    </w:p>
    <w:p w:rsidR="00FA6EAA" w:rsidRDefault="001508B4">
      <w:pPr>
        <w:pStyle w:val="ListParagraph1"/>
        <w:numPr>
          <w:ilvl w:val="0"/>
          <w:numId w:val="1"/>
        </w:numPr>
        <w:autoSpaceDE w:val="0"/>
        <w:autoSpaceDN w:val="0"/>
        <w:adjustRightInd w:val="0"/>
        <w:spacing w:line="300" w:lineRule="exact"/>
        <w:ind w:firstLine="402"/>
        <w:rPr>
          <w:rFonts w:ascii="新宋体" w:eastAsia="新宋体" w:hAnsi="新宋体"/>
          <w:bCs/>
          <w:sz w:val="20"/>
          <w:szCs w:val="20"/>
        </w:rPr>
      </w:pPr>
      <w:r>
        <w:rPr>
          <w:rFonts w:ascii="新宋体" w:eastAsia="新宋体" w:hAnsi="新宋体" w:hint="eastAsia"/>
          <w:b/>
          <w:sz w:val="20"/>
          <w:szCs w:val="20"/>
        </w:rPr>
        <w:t>法规：</w:t>
      </w:r>
      <w:r>
        <w:rPr>
          <w:rFonts w:ascii="新宋体" w:eastAsia="新宋体" w:hAnsi="新宋体" w:hint="eastAsia"/>
          <w:bCs/>
          <w:sz w:val="20"/>
          <w:szCs w:val="20"/>
        </w:rPr>
        <w:t>全面收录劳动法领域人力资源专业人士日常工作所需中央至地方法律法规16万余条。划分为招聘入职、劳动合同、工会、集体谈判、企业内部管理、薪酬福利、社会保险、工作时间、劳动保护、劳动争议、境外人士在华就业等主题板块及子版块。</w:t>
      </w:r>
    </w:p>
    <w:p w:rsidR="00FA6EAA" w:rsidRDefault="001508B4">
      <w:pPr>
        <w:pStyle w:val="ListParagraph1"/>
        <w:numPr>
          <w:ilvl w:val="0"/>
          <w:numId w:val="1"/>
        </w:numPr>
        <w:autoSpaceDE w:val="0"/>
        <w:autoSpaceDN w:val="0"/>
        <w:adjustRightInd w:val="0"/>
        <w:spacing w:line="300" w:lineRule="exact"/>
        <w:ind w:firstLine="402"/>
        <w:rPr>
          <w:rFonts w:ascii="新宋体" w:eastAsia="新宋体" w:hAnsi="新宋体"/>
          <w:bCs/>
          <w:sz w:val="20"/>
          <w:szCs w:val="20"/>
        </w:rPr>
      </w:pPr>
      <w:r>
        <w:rPr>
          <w:rFonts w:ascii="新宋体" w:eastAsia="新宋体" w:hAnsi="新宋体" w:hint="eastAsia"/>
          <w:b/>
          <w:sz w:val="20"/>
          <w:szCs w:val="20"/>
        </w:rPr>
        <w:t>案例：</w:t>
      </w:r>
      <w:r>
        <w:rPr>
          <w:rFonts w:ascii="新宋体" w:eastAsia="新宋体" w:hAnsi="新宋体" w:hint="eastAsia"/>
          <w:bCs/>
          <w:sz w:val="20"/>
          <w:szCs w:val="20"/>
        </w:rPr>
        <w:t>收录90余万条裁判文书，并特邀专家对1000多个典型案例进行评析。</w:t>
      </w:r>
    </w:p>
    <w:p w:rsidR="00FA6EAA" w:rsidRDefault="001508B4">
      <w:pPr>
        <w:pStyle w:val="ListParagraph1"/>
        <w:numPr>
          <w:ilvl w:val="0"/>
          <w:numId w:val="1"/>
        </w:numPr>
        <w:autoSpaceDE w:val="0"/>
        <w:autoSpaceDN w:val="0"/>
        <w:adjustRightInd w:val="0"/>
        <w:spacing w:line="300" w:lineRule="exact"/>
        <w:ind w:firstLine="402"/>
        <w:rPr>
          <w:rFonts w:ascii="新宋体" w:eastAsia="新宋体" w:hAnsi="新宋体"/>
          <w:b/>
          <w:sz w:val="20"/>
          <w:szCs w:val="20"/>
        </w:rPr>
      </w:pPr>
      <w:r>
        <w:rPr>
          <w:rFonts w:ascii="新宋体" w:eastAsia="新宋体" w:hAnsi="新宋体" w:hint="eastAsia"/>
          <w:b/>
          <w:sz w:val="20"/>
          <w:szCs w:val="20"/>
        </w:rPr>
        <w:t>专业解读：</w:t>
      </w:r>
    </w:p>
    <w:p w:rsidR="00FA6EAA" w:rsidRDefault="001508B4">
      <w:pPr>
        <w:pStyle w:val="ListParagraph1"/>
        <w:numPr>
          <w:ilvl w:val="0"/>
          <w:numId w:val="2"/>
        </w:numPr>
        <w:autoSpaceDE w:val="0"/>
        <w:autoSpaceDN w:val="0"/>
        <w:adjustRightInd w:val="0"/>
        <w:spacing w:line="300" w:lineRule="exact"/>
        <w:ind w:firstLine="402"/>
        <w:rPr>
          <w:rFonts w:ascii="新宋体" w:eastAsia="新宋体" w:hAnsi="新宋体"/>
          <w:b/>
          <w:sz w:val="20"/>
          <w:szCs w:val="20"/>
        </w:rPr>
      </w:pPr>
      <w:r>
        <w:rPr>
          <w:rFonts w:ascii="新宋体" w:eastAsia="新宋体" w:hAnsi="新宋体" w:hint="eastAsia"/>
          <w:b/>
          <w:sz w:val="20"/>
          <w:szCs w:val="20"/>
        </w:rPr>
        <w:t>专题：</w:t>
      </w:r>
      <w:r>
        <w:rPr>
          <w:rFonts w:ascii="新宋体" w:eastAsia="新宋体" w:hAnsi="新宋体" w:hint="eastAsia"/>
          <w:bCs/>
          <w:sz w:val="20"/>
          <w:szCs w:val="20"/>
        </w:rPr>
        <w:t>对人力资源领域的热点与难点话题进行深度解析，全面整合法规、案例与专业解读的内容，帮助您进行某个主题的深度研究。</w:t>
      </w:r>
    </w:p>
    <w:p w:rsidR="00FA6EAA" w:rsidRDefault="001508B4">
      <w:pPr>
        <w:pStyle w:val="ListParagraph1"/>
        <w:numPr>
          <w:ilvl w:val="0"/>
          <w:numId w:val="2"/>
        </w:numPr>
        <w:autoSpaceDE w:val="0"/>
        <w:autoSpaceDN w:val="0"/>
        <w:adjustRightInd w:val="0"/>
        <w:spacing w:line="300" w:lineRule="exact"/>
        <w:ind w:firstLine="402"/>
        <w:rPr>
          <w:rFonts w:ascii="新宋体" w:eastAsia="新宋体" w:hAnsi="新宋体"/>
          <w:bCs/>
          <w:sz w:val="20"/>
          <w:szCs w:val="20"/>
        </w:rPr>
      </w:pPr>
      <w:r>
        <w:rPr>
          <w:rFonts w:ascii="新宋体" w:eastAsia="新宋体" w:hAnsi="新宋体" w:hint="eastAsia"/>
          <w:b/>
          <w:sz w:val="20"/>
          <w:szCs w:val="20"/>
        </w:rPr>
        <w:t>专业文章：</w:t>
      </w:r>
      <w:r>
        <w:rPr>
          <w:rFonts w:ascii="新宋体" w:eastAsia="新宋体" w:hAnsi="新宋体" w:hint="eastAsia"/>
          <w:bCs/>
          <w:sz w:val="20"/>
          <w:szCs w:val="20"/>
        </w:rPr>
        <w:t>特邀专家第一时间解读最新劳动法政策，深入讨论员工关系处理中常见的实务问题。</w:t>
      </w:r>
    </w:p>
    <w:p w:rsidR="00FA6EAA" w:rsidRDefault="001508B4">
      <w:pPr>
        <w:pStyle w:val="ListParagraph1"/>
        <w:numPr>
          <w:ilvl w:val="0"/>
          <w:numId w:val="1"/>
        </w:numPr>
        <w:autoSpaceDE w:val="0"/>
        <w:autoSpaceDN w:val="0"/>
        <w:adjustRightInd w:val="0"/>
        <w:spacing w:line="300" w:lineRule="exact"/>
        <w:ind w:firstLine="402"/>
        <w:rPr>
          <w:rFonts w:ascii="新宋体" w:eastAsia="新宋体" w:hAnsi="新宋体"/>
          <w:bCs/>
          <w:sz w:val="20"/>
          <w:szCs w:val="20"/>
        </w:rPr>
      </w:pPr>
      <w:r>
        <w:rPr>
          <w:rFonts w:ascii="新宋体" w:eastAsia="新宋体" w:hAnsi="新宋体" w:hint="eastAsia"/>
          <w:b/>
          <w:sz w:val="20"/>
          <w:szCs w:val="20"/>
        </w:rPr>
        <w:t>实务指南：</w:t>
      </w:r>
      <w:r>
        <w:rPr>
          <w:rFonts w:ascii="新宋体" w:eastAsia="新宋体" w:hAnsi="新宋体" w:hint="eastAsia"/>
          <w:bCs/>
          <w:sz w:val="20"/>
          <w:szCs w:val="20"/>
        </w:rPr>
        <w:t>由顶尖律师事务所和人力资源权威专家撰写，涵盖劳动法领域诸如招聘、劳动合同、薪酬和福利、社保、工作时间和休假制度、劳动保护、工会和集体协商、劳动争议处理、境外人士在华就业等主要方面详细的法规评述、精准的要点解析和丰富的实务操作建议，包含以下内容：</w:t>
      </w:r>
    </w:p>
    <w:tbl>
      <w:tblPr>
        <w:tblW w:w="7938" w:type="dxa"/>
        <w:tblInd w:w="817" w:type="dxa"/>
        <w:tblLayout w:type="fixed"/>
        <w:tblLook w:val="04A0" w:firstRow="1" w:lastRow="0" w:firstColumn="1" w:lastColumn="0" w:noHBand="0" w:noVBand="1"/>
      </w:tblPr>
      <w:tblGrid>
        <w:gridCol w:w="3416"/>
        <w:gridCol w:w="4522"/>
      </w:tblGrid>
      <w:tr w:rsidR="00FA6EAA">
        <w:trPr>
          <w:trHeight w:val="288"/>
        </w:trPr>
        <w:tc>
          <w:tcPr>
            <w:tcW w:w="3416" w:type="dxa"/>
            <w:tcBorders>
              <w:top w:val="single" w:sz="4" w:space="0" w:color="auto"/>
              <w:left w:val="single" w:sz="4" w:space="0" w:color="auto"/>
              <w:bottom w:val="single" w:sz="4" w:space="0" w:color="auto"/>
              <w:right w:val="single" w:sz="4" w:space="0" w:color="auto"/>
            </w:tcBorders>
            <w:shd w:val="clear" w:color="auto" w:fill="auto"/>
            <w:vAlign w:val="center"/>
          </w:tcPr>
          <w:p w:rsidR="00FA6EAA" w:rsidRDefault="001508B4">
            <w:pPr>
              <w:jc w:val="center"/>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实务指南名称</w:t>
            </w:r>
          </w:p>
        </w:tc>
        <w:tc>
          <w:tcPr>
            <w:tcW w:w="4522" w:type="dxa"/>
            <w:tcBorders>
              <w:top w:val="single" w:sz="4" w:space="0" w:color="auto"/>
              <w:left w:val="nil"/>
              <w:bottom w:val="single" w:sz="4" w:space="0" w:color="auto"/>
              <w:right w:val="single" w:sz="4" w:space="0" w:color="auto"/>
            </w:tcBorders>
            <w:shd w:val="clear" w:color="auto" w:fill="auto"/>
            <w:vAlign w:val="center"/>
          </w:tcPr>
          <w:p w:rsidR="00FA6EAA" w:rsidRDefault="001508B4">
            <w:pPr>
              <w:jc w:val="center"/>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作者</w:t>
            </w:r>
          </w:p>
        </w:tc>
      </w:tr>
      <w:tr w:rsidR="00FA6EAA">
        <w:trPr>
          <w:trHeight w:val="528"/>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hint="eastAsia"/>
                <w:sz w:val="20"/>
                <w:szCs w:val="20"/>
              </w:rPr>
              <w:t>中国劳动暨社会保障法</w:t>
            </w:r>
            <w:r>
              <w:rPr>
                <w:rFonts w:asciiTheme="minorEastAsia" w:hAnsiTheme="minorEastAsia" w:cs="Arial"/>
                <w:sz w:val="20"/>
                <w:szCs w:val="20"/>
              </w:rPr>
              <w:t xml:space="preserve"> - </w:t>
            </w:r>
            <w:r>
              <w:rPr>
                <w:rFonts w:asciiTheme="minorEastAsia" w:hAnsiTheme="minorEastAsia" w:cs="Arial" w:hint="eastAsia"/>
                <w:sz w:val="20"/>
                <w:szCs w:val="20"/>
              </w:rPr>
              <w:t>重要问题释疑</w:t>
            </w:r>
            <w:r>
              <w:rPr>
                <w:rFonts w:asciiTheme="minorEastAsia" w:hAnsiTheme="minorEastAsia" w:cs="Arial"/>
                <w:sz w:val="20"/>
                <w:szCs w:val="20"/>
              </w:rPr>
              <w:t xml:space="preserve"> (</w:t>
            </w:r>
            <w:r>
              <w:rPr>
                <w:rFonts w:asciiTheme="minorEastAsia" w:hAnsiTheme="minorEastAsia" w:cs="Arial" w:hint="eastAsia"/>
                <w:sz w:val="20"/>
                <w:szCs w:val="20"/>
              </w:rPr>
              <w:t>中文版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CCH Editors </w:t>
            </w:r>
            <w:r>
              <w:rPr>
                <w:rFonts w:asciiTheme="minorEastAsia" w:hAnsiTheme="minorEastAsia" w:cs="Arial" w:hint="eastAsia"/>
                <w:sz w:val="20"/>
                <w:szCs w:val="20"/>
              </w:rPr>
              <w:t>专业编辑，</w:t>
            </w:r>
            <w:r>
              <w:rPr>
                <w:rFonts w:asciiTheme="minorEastAsia" w:hAnsiTheme="minorEastAsia" w:cs="Arial"/>
                <w:sz w:val="20"/>
                <w:szCs w:val="20"/>
              </w:rPr>
              <w:t xml:space="preserve">Jun He Law Firm </w:t>
            </w:r>
            <w:r>
              <w:rPr>
                <w:rFonts w:asciiTheme="minorEastAsia" w:hAnsiTheme="minorEastAsia" w:cs="Arial" w:hint="eastAsia"/>
                <w:sz w:val="20"/>
                <w:szCs w:val="20"/>
              </w:rPr>
              <w:t>君合律师事务所</w:t>
            </w:r>
          </w:p>
        </w:tc>
      </w:tr>
      <w:tr w:rsidR="00FA6EAA">
        <w:trPr>
          <w:trHeight w:val="528"/>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hint="eastAsia"/>
                <w:sz w:val="20"/>
                <w:szCs w:val="20"/>
              </w:rPr>
              <w:t>中国劳动暨社会保障法</w:t>
            </w:r>
            <w:r>
              <w:rPr>
                <w:rFonts w:asciiTheme="minorEastAsia" w:hAnsiTheme="minorEastAsia" w:cs="Arial"/>
                <w:sz w:val="20"/>
                <w:szCs w:val="20"/>
              </w:rPr>
              <w:t xml:space="preserve"> - </w:t>
            </w:r>
            <w:r>
              <w:rPr>
                <w:rFonts w:asciiTheme="minorEastAsia" w:hAnsiTheme="minorEastAsia" w:cs="Arial" w:hint="eastAsia"/>
                <w:sz w:val="20"/>
                <w:szCs w:val="20"/>
              </w:rPr>
              <w:t>重要问题释疑</w:t>
            </w:r>
            <w:r>
              <w:rPr>
                <w:rFonts w:asciiTheme="minorEastAsia" w:hAnsiTheme="minorEastAsia" w:cs="Arial"/>
                <w:sz w:val="20"/>
                <w:szCs w:val="20"/>
              </w:rPr>
              <w:t xml:space="preserve"> (</w:t>
            </w:r>
            <w:r>
              <w:rPr>
                <w:rFonts w:asciiTheme="minorEastAsia" w:hAnsiTheme="minorEastAsia" w:cs="Arial" w:hint="eastAsia"/>
                <w:sz w:val="20"/>
                <w:szCs w:val="20"/>
              </w:rPr>
              <w:t>英文版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CCH Editors </w:t>
            </w:r>
            <w:r>
              <w:rPr>
                <w:rFonts w:asciiTheme="minorEastAsia" w:hAnsiTheme="minorEastAsia" w:cs="Arial" w:hint="eastAsia"/>
                <w:sz w:val="20"/>
                <w:szCs w:val="20"/>
              </w:rPr>
              <w:t>专业编辑，</w:t>
            </w:r>
            <w:r>
              <w:rPr>
                <w:rFonts w:asciiTheme="minorEastAsia" w:hAnsiTheme="minorEastAsia" w:cs="Arial"/>
                <w:sz w:val="20"/>
                <w:szCs w:val="20"/>
              </w:rPr>
              <w:t xml:space="preserve">Jun He Law Firm </w:t>
            </w:r>
            <w:r>
              <w:rPr>
                <w:rFonts w:asciiTheme="minorEastAsia" w:hAnsiTheme="minorEastAsia" w:cs="Arial" w:hint="eastAsia"/>
                <w:sz w:val="20"/>
                <w:szCs w:val="20"/>
              </w:rPr>
              <w:t>君合律师事务所</w:t>
            </w:r>
          </w:p>
        </w:tc>
      </w:tr>
      <w:tr w:rsidR="00FA6EAA">
        <w:trPr>
          <w:trHeight w:val="288"/>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hint="eastAsia"/>
                <w:sz w:val="20"/>
                <w:szCs w:val="20"/>
              </w:rPr>
              <w:t>上海劳动法实务指南</w:t>
            </w:r>
            <w:r>
              <w:rPr>
                <w:rFonts w:asciiTheme="minorEastAsia" w:hAnsiTheme="minorEastAsia" w:cs="Arial"/>
                <w:sz w:val="20"/>
                <w:szCs w:val="20"/>
              </w:rPr>
              <w:t xml:space="preserve"> (</w:t>
            </w:r>
            <w:r>
              <w:rPr>
                <w:rFonts w:asciiTheme="minorEastAsia" w:hAnsiTheme="minorEastAsia" w:cs="Arial" w:hint="eastAsia"/>
                <w:sz w:val="20"/>
                <w:szCs w:val="20"/>
              </w:rPr>
              <w:t>中文版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King &amp; Wood Law Firm </w:t>
            </w:r>
            <w:r>
              <w:rPr>
                <w:rFonts w:asciiTheme="minorEastAsia" w:hAnsiTheme="minorEastAsia" w:cs="Arial" w:hint="eastAsia"/>
                <w:sz w:val="20"/>
                <w:szCs w:val="20"/>
              </w:rPr>
              <w:t>金杜律师事务所</w:t>
            </w:r>
          </w:p>
        </w:tc>
      </w:tr>
      <w:tr w:rsidR="00FA6EAA">
        <w:trPr>
          <w:trHeight w:val="480"/>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hint="eastAsia"/>
                <w:sz w:val="20"/>
                <w:szCs w:val="20"/>
              </w:rPr>
              <w:t>上海劳动法实务指南</w:t>
            </w:r>
            <w:r>
              <w:rPr>
                <w:rFonts w:asciiTheme="minorEastAsia" w:hAnsiTheme="minorEastAsia" w:cs="Arial"/>
                <w:sz w:val="20"/>
                <w:szCs w:val="20"/>
              </w:rPr>
              <w:t xml:space="preserve"> (</w:t>
            </w:r>
            <w:r>
              <w:rPr>
                <w:rFonts w:asciiTheme="minorEastAsia" w:hAnsiTheme="minorEastAsia" w:cs="Arial" w:hint="eastAsia"/>
                <w:sz w:val="20"/>
                <w:szCs w:val="20"/>
              </w:rPr>
              <w:t>英文版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King &amp; Wood Law Firm </w:t>
            </w:r>
            <w:r>
              <w:rPr>
                <w:rFonts w:asciiTheme="minorEastAsia" w:hAnsiTheme="minorEastAsia" w:cs="Arial" w:hint="eastAsia"/>
                <w:sz w:val="20"/>
                <w:szCs w:val="20"/>
              </w:rPr>
              <w:t>金杜律师事务所</w:t>
            </w:r>
          </w:p>
        </w:tc>
      </w:tr>
      <w:tr w:rsidR="00FA6EAA">
        <w:trPr>
          <w:trHeight w:val="288"/>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宋体"/>
                <w:sz w:val="20"/>
                <w:szCs w:val="20"/>
              </w:rPr>
              <w:t>北京劳动法实务指南</w:t>
            </w:r>
            <w:r>
              <w:rPr>
                <w:rFonts w:asciiTheme="minorEastAsia" w:hAnsiTheme="minorEastAsia" w:cs="Arial"/>
                <w:sz w:val="20"/>
                <w:szCs w:val="20"/>
              </w:rPr>
              <w:t xml:space="preserve"> (</w:t>
            </w:r>
            <w:r>
              <w:rPr>
                <w:rFonts w:asciiTheme="minorEastAsia" w:hAnsiTheme="minorEastAsia" w:cs="宋体"/>
                <w:sz w:val="20"/>
                <w:szCs w:val="20"/>
              </w:rPr>
              <w:t>中文版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King &amp; Wood Law Firm </w:t>
            </w:r>
            <w:r>
              <w:rPr>
                <w:rFonts w:asciiTheme="minorEastAsia" w:hAnsiTheme="minorEastAsia" w:cs="Arial" w:hint="eastAsia"/>
                <w:sz w:val="20"/>
                <w:szCs w:val="20"/>
              </w:rPr>
              <w:t>金杜律师事务所</w:t>
            </w:r>
          </w:p>
        </w:tc>
      </w:tr>
      <w:tr w:rsidR="00FA6EAA">
        <w:trPr>
          <w:trHeight w:val="288"/>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宋体"/>
                <w:sz w:val="20"/>
                <w:szCs w:val="20"/>
              </w:rPr>
              <w:t>北京劳动法实务指南</w:t>
            </w:r>
            <w:r>
              <w:rPr>
                <w:rFonts w:asciiTheme="minorEastAsia" w:hAnsiTheme="minorEastAsia" w:cs="Arial"/>
                <w:sz w:val="20"/>
                <w:szCs w:val="20"/>
              </w:rPr>
              <w:t xml:space="preserve"> (</w:t>
            </w:r>
            <w:r>
              <w:rPr>
                <w:rFonts w:asciiTheme="minorEastAsia" w:hAnsiTheme="minorEastAsia" w:cs="宋体"/>
                <w:sz w:val="20"/>
                <w:szCs w:val="20"/>
              </w:rPr>
              <w:t>英文版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King &amp; Wood Law Firm </w:t>
            </w:r>
            <w:r>
              <w:rPr>
                <w:rFonts w:asciiTheme="minorEastAsia" w:hAnsiTheme="minorEastAsia" w:cs="Arial" w:hint="eastAsia"/>
                <w:sz w:val="20"/>
                <w:szCs w:val="20"/>
              </w:rPr>
              <w:t>金杜律师事务所</w:t>
            </w:r>
          </w:p>
        </w:tc>
      </w:tr>
      <w:tr w:rsidR="00FA6EAA">
        <w:trPr>
          <w:trHeight w:val="288"/>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宋体"/>
                <w:sz w:val="20"/>
                <w:szCs w:val="20"/>
              </w:rPr>
              <w:t>深圳劳动法实务指南</w:t>
            </w:r>
            <w:r>
              <w:rPr>
                <w:rFonts w:asciiTheme="minorEastAsia" w:hAnsiTheme="minorEastAsia" w:cs="Arial"/>
                <w:sz w:val="20"/>
                <w:szCs w:val="20"/>
              </w:rPr>
              <w:t xml:space="preserve"> (</w:t>
            </w:r>
            <w:r>
              <w:rPr>
                <w:rFonts w:asciiTheme="minorEastAsia" w:hAnsiTheme="minorEastAsia" w:cs="宋体"/>
                <w:sz w:val="20"/>
                <w:szCs w:val="20"/>
              </w:rPr>
              <w:t>中文版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King &amp; Wood Law Firm </w:t>
            </w:r>
            <w:r>
              <w:rPr>
                <w:rFonts w:asciiTheme="minorEastAsia" w:hAnsiTheme="minorEastAsia" w:cs="Arial" w:hint="eastAsia"/>
                <w:sz w:val="20"/>
                <w:szCs w:val="20"/>
              </w:rPr>
              <w:t>金杜律师事务所</w:t>
            </w:r>
          </w:p>
        </w:tc>
      </w:tr>
      <w:tr w:rsidR="00FA6EAA">
        <w:trPr>
          <w:trHeight w:val="288"/>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宋体"/>
                <w:sz w:val="20"/>
                <w:szCs w:val="20"/>
              </w:rPr>
              <w:t>广东劳动法实务指南</w:t>
            </w:r>
            <w:r>
              <w:rPr>
                <w:rFonts w:asciiTheme="minorEastAsia" w:hAnsiTheme="minorEastAsia" w:cs="Arial"/>
                <w:sz w:val="20"/>
                <w:szCs w:val="20"/>
              </w:rPr>
              <w:t xml:space="preserve"> (</w:t>
            </w:r>
            <w:r>
              <w:rPr>
                <w:rFonts w:asciiTheme="minorEastAsia" w:hAnsiTheme="minorEastAsia" w:cs="宋体"/>
                <w:sz w:val="20"/>
                <w:szCs w:val="20"/>
              </w:rPr>
              <w:t>中文版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King &amp; Wood Law Firm </w:t>
            </w:r>
            <w:r>
              <w:rPr>
                <w:rFonts w:asciiTheme="minorEastAsia" w:hAnsiTheme="minorEastAsia" w:cs="Arial" w:hint="eastAsia"/>
                <w:sz w:val="20"/>
                <w:szCs w:val="20"/>
              </w:rPr>
              <w:t>金杜律师事务所</w:t>
            </w:r>
          </w:p>
        </w:tc>
      </w:tr>
      <w:tr w:rsidR="00FA6EAA">
        <w:trPr>
          <w:trHeight w:val="480"/>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hint="eastAsia"/>
                <w:sz w:val="20"/>
                <w:szCs w:val="20"/>
              </w:rPr>
              <w:lastRenderedPageBreak/>
              <w:t>江苏劳动法实务指南</w:t>
            </w:r>
            <w:r>
              <w:rPr>
                <w:rFonts w:asciiTheme="minorEastAsia" w:hAnsiTheme="minorEastAsia" w:cs="Arial"/>
                <w:sz w:val="20"/>
                <w:szCs w:val="20"/>
              </w:rPr>
              <w:t xml:space="preserve"> (</w:t>
            </w:r>
            <w:r>
              <w:rPr>
                <w:rFonts w:asciiTheme="minorEastAsia" w:hAnsiTheme="minorEastAsia" w:cs="Arial" w:hint="eastAsia"/>
                <w:sz w:val="20"/>
                <w:szCs w:val="20"/>
              </w:rPr>
              <w:t>中文版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King &amp; Wood Law Firm </w:t>
            </w:r>
            <w:r>
              <w:rPr>
                <w:rFonts w:asciiTheme="minorEastAsia" w:hAnsiTheme="minorEastAsia" w:cs="Arial" w:hint="eastAsia"/>
                <w:sz w:val="20"/>
                <w:szCs w:val="20"/>
              </w:rPr>
              <w:t>金杜律师事务所</w:t>
            </w:r>
          </w:p>
        </w:tc>
      </w:tr>
      <w:tr w:rsidR="00FA6EAA">
        <w:trPr>
          <w:trHeight w:val="528"/>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hint="eastAsia"/>
                <w:sz w:val="20"/>
                <w:szCs w:val="20"/>
              </w:rPr>
              <w:t>中国人力资源必备模板</w:t>
            </w:r>
            <w:r>
              <w:rPr>
                <w:rFonts w:asciiTheme="minorEastAsia" w:hAnsiTheme="minorEastAsia" w:cs="Arial"/>
                <w:sz w:val="20"/>
                <w:szCs w:val="20"/>
              </w:rPr>
              <w:t>—</w:t>
            </w:r>
            <w:r>
              <w:rPr>
                <w:rFonts w:asciiTheme="minorEastAsia" w:hAnsiTheme="minorEastAsia" w:cs="Arial" w:hint="eastAsia"/>
                <w:sz w:val="20"/>
                <w:szCs w:val="20"/>
              </w:rPr>
              <w:t>实用信件、表格和规章样本</w:t>
            </w:r>
            <w:r>
              <w:rPr>
                <w:rFonts w:asciiTheme="minorEastAsia" w:hAnsiTheme="minorEastAsia" w:cs="Arial"/>
                <w:sz w:val="20"/>
                <w:szCs w:val="20"/>
              </w:rPr>
              <w:t xml:space="preserve"> (</w:t>
            </w:r>
            <w:r>
              <w:rPr>
                <w:rFonts w:asciiTheme="minorEastAsia" w:hAnsiTheme="minorEastAsia" w:cs="Arial" w:hint="eastAsia"/>
                <w:sz w:val="20"/>
                <w:szCs w:val="20"/>
              </w:rPr>
              <w:t>双语版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CCH Editors </w:t>
            </w:r>
            <w:r>
              <w:rPr>
                <w:rFonts w:asciiTheme="minorEastAsia" w:hAnsiTheme="minorEastAsia" w:cs="Arial" w:hint="eastAsia"/>
                <w:sz w:val="20"/>
                <w:szCs w:val="20"/>
              </w:rPr>
              <w:t>专业编辑</w:t>
            </w:r>
          </w:p>
        </w:tc>
      </w:tr>
      <w:tr w:rsidR="00FA6EAA">
        <w:trPr>
          <w:trHeight w:val="285"/>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hint="eastAsia"/>
                <w:sz w:val="20"/>
                <w:szCs w:val="20"/>
              </w:rPr>
              <w:t>试用期解除全方位技巧指南</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Verdana" w:hAnsi="Verdana"/>
                <w:color w:val="474747"/>
                <w:szCs w:val="21"/>
              </w:rPr>
              <w:t>联拓律师事务</w:t>
            </w:r>
            <w:r>
              <w:rPr>
                <w:rFonts w:ascii="宋体" w:eastAsia="宋体" w:hAnsi="宋体" w:cs="宋体" w:hint="eastAsia"/>
                <w:color w:val="474747"/>
                <w:szCs w:val="21"/>
              </w:rPr>
              <w:t>所</w:t>
            </w:r>
          </w:p>
        </w:tc>
      </w:tr>
      <w:tr w:rsidR="00FA6EAA">
        <w:trPr>
          <w:trHeight w:val="274"/>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hint="eastAsia"/>
                <w:sz w:val="20"/>
                <w:szCs w:val="20"/>
              </w:rPr>
              <w:t>企业裁员操作指南</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Verdana" w:hAnsi="Verdana"/>
                <w:color w:val="474747"/>
                <w:szCs w:val="21"/>
              </w:rPr>
            </w:pPr>
            <w:r>
              <w:rPr>
                <w:rFonts w:ascii="Verdana" w:hAnsi="Verdana"/>
                <w:color w:val="474747"/>
                <w:szCs w:val="21"/>
              </w:rPr>
              <w:t>联拓律师事务</w:t>
            </w:r>
            <w:r>
              <w:rPr>
                <w:rFonts w:ascii="宋体" w:eastAsia="宋体" w:hAnsi="宋体" w:cs="宋体" w:hint="eastAsia"/>
                <w:color w:val="474747"/>
                <w:szCs w:val="21"/>
              </w:rPr>
              <w:t>所</w:t>
            </w:r>
          </w:p>
        </w:tc>
      </w:tr>
      <w:tr w:rsidR="00FA6EAA">
        <w:trPr>
          <w:trHeight w:val="288"/>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宋体"/>
                <w:sz w:val="20"/>
                <w:szCs w:val="20"/>
              </w:rPr>
              <w:t>外籍人士纳税筹划</w:t>
            </w:r>
            <w:r>
              <w:rPr>
                <w:rFonts w:asciiTheme="minorEastAsia" w:hAnsiTheme="minorEastAsia" w:cs="Arial"/>
                <w:sz w:val="20"/>
                <w:szCs w:val="20"/>
              </w:rPr>
              <w:t xml:space="preserve"> (</w:t>
            </w:r>
            <w:r>
              <w:rPr>
                <w:rFonts w:asciiTheme="minorEastAsia" w:hAnsiTheme="minorEastAsia" w:cs="宋体"/>
                <w:sz w:val="20"/>
                <w:szCs w:val="20"/>
              </w:rPr>
              <w:t>英文版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Deloitte </w:t>
            </w:r>
            <w:r>
              <w:rPr>
                <w:rFonts w:asciiTheme="minorEastAsia" w:hAnsiTheme="minorEastAsia" w:cs="Arial" w:hint="eastAsia"/>
                <w:sz w:val="20"/>
                <w:szCs w:val="20"/>
              </w:rPr>
              <w:t>德勤会计师事务所</w:t>
            </w:r>
          </w:p>
        </w:tc>
      </w:tr>
      <w:tr w:rsidR="00FA6EAA">
        <w:trPr>
          <w:trHeight w:val="528"/>
        </w:trPr>
        <w:tc>
          <w:tcPr>
            <w:tcW w:w="3416" w:type="dxa"/>
            <w:tcBorders>
              <w:top w:val="nil"/>
              <w:left w:val="single" w:sz="4" w:space="0" w:color="auto"/>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hint="eastAsia"/>
                <w:sz w:val="20"/>
                <w:szCs w:val="20"/>
              </w:rPr>
              <w:t>香港劳动法指南</w:t>
            </w:r>
            <w:r>
              <w:rPr>
                <w:rFonts w:asciiTheme="minorEastAsia" w:hAnsiTheme="minorEastAsia" w:cs="Arial"/>
                <w:sz w:val="20"/>
                <w:szCs w:val="20"/>
              </w:rPr>
              <w:t xml:space="preserve"> (</w:t>
            </w:r>
            <w:r>
              <w:rPr>
                <w:rFonts w:asciiTheme="minorEastAsia" w:hAnsiTheme="minorEastAsia" w:cs="Arial" w:hint="eastAsia"/>
                <w:sz w:val="20"/>
                <w:szCs w:val="20"/>
              </w:rPr>
              <w:t>英文版</w:t>
            </w:r>
            <w:r>
              <w:rPr>
                <w:rFonts w:asciiTheme="minorEastAsia" w:hAnsiTheme="minorEastAsia" w:cs="Arial"/>
                <w:sz w:val="20"/>
                <w:szCs w:val="20"/>
              </w:rPr>
              <w:t>)</w:t>
            </w:r>
          </w:p>
        </w:tc>
        <w:tc>
          <w:tcPr>
            <w:tcW w:w="4522" w:type="dxa"/>
            <w:tcBorders>
              <w:top w:val="nil"/>
              <w:left w:val="nil"/>
              <w:bottom w:val="single" w:sz="4" w:space="0" w:color="auto"/>
              <w:right w:val="single" w:sz="4" w:space="0" w:color="auto"/>
            </w:tcBorders>
            <w:shd w:val="clear" w:color="auto" w:fill="auto"/>
            <w:vAlign w:val="center"/>
          </w:tcPr>
          <w:p w:rsidR="00FA6EAA" w:rsidRDefault="001508B4">
            <w:pPr>
              <w:rPr>
                <w:rFonts w:asciiTheme="minorEastAsia" w:hAnsiTheme="minorEastAsia" w:cs="Arial"/>
                <w:sz w:val="20"/>
                <w:szCs w:val="20"/>
              </w:rPr>
            </w:pPr>
            <w:r>
              <w:rPr>
                <w:rFonts w:asciiTheme="minorEastAsia" w:hAnsiTheme="minorEastAsia" w:cs="Arial"/>
                <w:sz w:val="20"/>
                <w:szCs w:val="20"/>
              </w:rPr>
              <w:t xml:space="preserve">DLA Piper </w:t>
            </w:r>
            <w:r>
              <w:rPr>
                <w:rFonts w:asciiTheme="minorEastAsia" w:hAnsiTheme="minorEastAsia" w:cs="Arial" w:hint="eastAsia"/>
                <w:sz w:val="20"/>
                <w:szCs w:val="20"/>
              </w:rPr>
              <w:t>欧华律师事务所，</w:t>
            </w:r>
            <w:r>
              <w:rPr>
                <w:rFonts w:asciiTheme="minorEastAsia" w:hAnsiTheme="minorEastAsia" w:cs="Tahoma"/>
                <w:sz w:val="20"/>
                <w:szCs w:val="20"/>
              </w:rPr>
              <w:t>Pattie Walsh is the head of DLA Piper’s regional Asia Pacific employment practice.</w:t>
            </w:r>
          </w:p>
        </w:tc>
      </w:tr>
    </w:tbl>
    <w:p w:rsidR="00FA6EAA" w:rsidRDefault="001508B4">
      <w:pPr>
        <w:pStyle w:val="ListParagraph1"/>
        <w:numPr>
          <w:ilvl w:val="0"/>
          <w:numId w:val="1"/>
        </w:numPr>
        <w:autoSpaceDE w:val="0"/>
        <w:autoSpaceDN w:val="0"/>
        <w:adjustRightInd w:val="0"/>
        <w:spacing w:line="300" w:lineRule="exact"/>
        <w:ind w:firstLine="402"/>
        <w:rPr>
          <w:rFonts w:ascii="新宋体" w:eastAsia="新宋体" w:hAnsi="新宋体"/>
          <w:b/>
          <w:sz w:val="20"/>
          <w:szCs w:val="20"/>
        </w:rPr>
      </w:pPr>
      <w:r>
        <w:rPr>
          <w:rFonts w:ascii="新宋体" w:eastAsia="新宋体" w:hAnsi="新宋体" w:hint="eastAsia"/>
          <w:b/>
          <w:sz w:val="20"/>
          <w:szCs w:val="20"/>
        </w:rPr>
        <w:t>实用工具</w:t>
      </w:r>
    </w:p>
    <w:p w:rsidR="00FA6EAA" w:rsidRDefault="001508B4">
      <w:pPr>
        <w:pStyle w:val="ListParagraph1"/>
        <w:numPr>
          <w:ilvl w:val="0"/>
          <w:numId w:val="3"/>
        </w:numPr>
        <w:autoSpaceDE w:val="0"/>
        <w:autoSpaceDN w:val="0"/>
        <w:adjustRightInd w:val="0"/>
        <w:spacing w:line="300" w:lineRule="exact"/>
        <w:ind w:firstLine="402"/>
        <w:rPr>
          <w:rFonts w:ascii="新宋体" w:eastAsia="新宋体" w:hAnsi="新宋体"/>
          <w:b/>
          <w:sz w:val="20"/>
          <w:szCs w:val="20"/>
        </w:rPr>
      </w:pPr>
      <w:r>
        <w:rPr>
          <w:rFonts w:ascii="新宋体" w:eastAsia="新宋体" w:hAnsi="新宋体" w:hint="eastAsia"/>
          <w:b/>
          <w:sz w:val="20"/>
          <w:szCs w:val="20"/>
        </w:rPr>
        <w:t>劳动合同模板及解析：</w:t>
      </w:r>
      <w:r>
        <w:rPr>
          <w:rFonts w:ascii="新宋体" w:eastAsia="新宋体" w:hAnsi="新宋体" w:hint="eastAsia"/>
          <w:bCs/>
          <w:sz w:val="20"/>
          <w:szCs w:val="20"/>
        </w:rPr>
        <w:t>提供规范的劳动合同范本供参考，并在每个合同条款下辅以与条款相关的内容注释和律师提示，避免劳动合同中可能出现的风险。</w:t>
      </w:r>
    </w:p>
    <w:p w:rsidR="00FA6EAA" w:rsidRDefault="001508B4">
      <w:pPr>
        <w:pStyle w:val="ListParagraph1"/>
        <w:numPr>
          <w:ilvl w:val="0"/>
          <w:numId w:val="3"/>
        </w:numPr>
        <w:autoSpaceDE w:val="0"/>
        <w:autoSpaceDN w:val="0"/>
        <w:adjustRightInd w:val="0"/>
        <w:spacing w:line="300" w:lineRule="exact"/>
        <w:ind w:firstLine="402"/>
        <w:rPr>
          <w:rFonts w:ascii="新宋体" w:eastAsia="新宋体" w:hAnsi="新宋体"/>
          <w:bCs/>
          <w:sz w:val="20"/>
          <w:szCs w:val="20"/>
        </w:rPr>
      </w:pPr>
      <w:r>
        <w:rPr>
          <w:rFonts w:ascii="新宋体" w:eastAsia="新宋体" w:hAnsi="新宋体" w:hint="eastAsia"/>
          <w:b/>
          <w:sz w:val="20"/>
          <w:szCs w:val="20"/>
        </w:rPr>
        <w:t>文书模板：</w:t>
      </w:r>
      <w:r>
        <w:rPr>
          <w:rFonts w:ascii="新宋体" w:eastAsia="新宋体" w:hAnsi="新宋体" w:hint="eastAsia"/>
          <w:bCs/>
          <w:sz w:val="20"/>
          <w:szCs w:val="20"/>
        </w:rPr>
        <w:t>收集人力资源实际工作中600多个实用信件、表格、政策样本和协议，文书和模板均经过专家精心设计，方便直接打印使用。</w:t>
      </w:r>
    </w:p>
    <w:p w:rsidR="00FA6EAA" w:rsidRDefault="001508B4">
      <w:pPr>
        <w:pStyle w:val="ListParagraph1"/>
        <w:numPr>
          <w:ilvl w:val="0"/>
          <w:numId w:val="3"/>
        </w:numPr>
        <w:autoSpaceDE w:val="0"/>
        <w:autoSpaceDN w:val="0"/>
        <w:adjustRightInd w:val="0"/>
        <w:spacing w:line="300" w:lineRule="exact"/>
        <w:ind w:firstLine="402"/>
        <w:rPr>
          <w:rFonts w:ascii="新宋体" w:eastAsia="新宋体" w:hAnsi="新宋体"/>
          <w:bCs/>
          <w:sz w:val="20"/>
          <w:szCs w:val="20"/>
        </w:rPr>
      </w:pPr>
      <w:r>
        <w:rPr>
          <w:rFonts w:ascii="新宋体" w:eastAsia="新宋体" w:hAnsi="新宋体" w:hint="eastAsia"/>
          <w:b/>
          <w:sz w:val="20"/>
          <w:szCs w:val="20"/>
        </w:rPr>
        <w:t>智能图表：</w:t>
      </w:r>
      <w:r>
        <w:rPr>
          <w:rFonts w:ascii="新宋体" w:eastAsia="新宋体" w:hAnsi="新宋体" w:hint="eastAsia"/>
          <w:bCs/>
          <w:sz w:val="20"/>
          <w:szCs w:val="20"/>
        </w:rPr>
        <w:t>提供北京、上海、广州、深圳、苏州等50个重点城市包括社保缴纳比例、最低工资标准、工伤待遇、高温津贴在内超过</w:t>
      </w:r>
      <w:r>
        <w:rPr>
          <w:rFonts w:ascii="新宋体" w:eastAsia="新宋体" w:hAnsi="新宋体"/>
          <w:bCs/>
          <w:sz w:val="20"/>
          <w:szCs w:val="20"/>
        </w:rPr>
        <w:t>100</w:t>
      </w:r>
      <w:r>
        <w:rPr>
          <w:rFonts w:ascii="新宋体" w:eastAsia="新宋体" w:hAnsi="新宋体" w:hint="eastAsia"/>
          <w:bCs/>
          <w:sz w:val="20"/>
          <w:szCs w:val="20"/>
        </w:rPr>
        <w:t>个劳动法领域话题的比较。</w:t>
      </w:r>
    </w:p>
    <w:p w:rsidR="00FA6EAA" w:rsidRDefault="001508B4">
      <w:pPr>
        <w:pStyle w:val="ListParagraph1"/>
        <w:numPr>
          <w:ilvl w:val="0"/>
          <w:numId w:val="4"/>
        </w:numPr>
        <w:autoSpaceDE w:val="0"/>
        <w:autoSpaceDN w:val="0"/>
        <w:adjustRightInd w:val="0"/>
        <w:spacing w:line="300" w:lineRule="exact"/>
        <w:ind w:firstLine="400"/>
        <w:rPr>
          <w:rStyle w:val="Hyperlink"/>
          <w:rFonts w:asciiTheme="minorEastAsia" w:hAnsiTheme="minorEastAsia"/>
          <w:bCs/>
          <w:color w:val="auto"/>
          <w:sz w:val="20"/>
          <w:szCs w:val="20"/>
        </w:rPr>
      </w:pPr>
      <w:r>
        <w:rPr>
          <w:rStyle w:val="Hyperlink"/>
          <w:rFonts w:asciiTheme="minorEastAsia" w:hAnsiTheme="minorEastAsia" w:cs="宋体" w:hint="eastAsia"/>
          <w:color w:val="auto"/>
          <w:sz w:val="20"/>
          <w:szCs w:val="20"/>
        </w:rPr>
        <w:t>中国重点城市劳动法对比与分析</w:t>
      </w:r>
    </w:p>
    <w:p w:rsidR="00FA6EAA" w:rsidRDefault="001508B4">
      <w:pPr>
        <w:pStyle w:val="ListParagraph1"/>
        <w:numPr>
          <w:ilvl w:val="0"/>
          <w:numId w:val="4"/>
        </w:numPr>
        <w:autoSpaceDE w:val="0"/>
        <w:autoSpaceDN w:val="0"/>
        <w:adjustRightInd w:val="0"/>
        <w:spacing w:line="300" w:lineRule="exact"/>
        <w:ind w:firstLine="400"/>
        <w:rPr>
          <w:rStyle w:val="Hyperlink"/>
          <w:rFonts w:asciiTheme="minorEastAsia" w:hAnsiTheme="minorEastAsia"/>
          <w:bCs/>
          <w:color w:val="auto"/>
          <w:sz w:val="20"/>
          <w:szCs w:val="20"/>
        </w:rPr>
      </w:pPr>
      <w:r>
        <w:rPr>
          <w:rStyle w:val="Hyperlink"/>
          <w:rFonts w:asciiTheme="minorEastAsia" w:hAnsiTheme="minorEastAsia" w:cs="宋体" w:hint="eastAsia"/>
          <w:color w:val="auto"/>
          <w:sz w:val="20"/>
          <w:szCs w:val="20"/>
        </w:rPr>
        <w:t>中国</w:t>
      </w:r>
      <w:r>
        <w:rPr>
          <w:rStyle w:val="Hyperlink"/>
          <w:rFonts w:asciiTheme="minorEastAsia" w:hAnsiTheme="minorEastAsia"/>
          <w:color w:val="auto"/>
          <w:sz w:val="20"/>
          <w:szCs w:val="20"/>
        </w:rPr>
        <w:t>50</w:t>
      </w:r>
      <w:r>
        <w:rPr>
          <w:rStyle w:val="Hyperlink"/>
          <w:rFonts w:asciiTheme="minorEastAsia" w:hAnsiTheme="minorEastAsia" w:cs="宋体" w:hint="eastAsia"/>
          <w:color w:val="auto"/>
          <w:sz w:val="20"/>
          <w:szCs w:val="20"/>
        </w:rPr>
        <w:t>个主要城市社保缴纳比例及缴费基数汇总</w:t>
      </w:r>
    </w:p>
    <w:p w:rsidR="00FA6EAA" w:rsidRDefault="001508B4">
      <w:pPr>
        <w:pStyle w:val="ListParagraph1"/>
        <w:numPr>
          <w:ilvl w:val="0"/>
          <w:numId w:val="4"/>
        </w:numPr>
        <w:autoSpaceDE w:val="0"/>
        <w:autoSpaceDN w:val="0"/>
        <w:adjustRightInd w:val="0"/>
        <w:spacing w:line="300" w:lineRule="exact"/>
        <w:ind w:firstLine="400"/>
        <w:rPr>
          <w:rStyle w:val="Hyperlink"/>
          <w:rFonts w:asciiTheme="minorEastAsia" w:hAnsiTheme="minorEastAsia"/>
          <w:bCs/>
          <w:color w:val="auto"/>
          <w:sz w:val="20"/>
          <w:szCs w:val="20"/>
        </w:rPr>
      </w:pPr>
      <w:r>
        <w:rPr>
          <w:rStyle w:val="Hyperlink"/>
          <w:rFonts w:asciiTheme="minorEastAsia" w:hAnsiTheme="minorEastAsia" w:cs="宋体" w:hint="eastAsia"/>
          <w:color w:val="auto"/>
          <w:sz w:val="20"/>
          <w:szCs w:val="20"/>
        </w:rPr>
        <w:t>中国</w:t>
      </w:r>
      <w:r>
        <w:rPr>
          <w:rStyle w:val="Hyperlink"/>
          <w:rFonts w:asciiTheme="minorEastAsia" w:hAnsiTheme="minorEastAsia"/>
          <w:color w:val="auto"/>
          <w:sz w:val="20"/>
          <w:szCs w:val="20"/>
        </w:rPr>
        <w:t>50</w:t>
      </w:r>
      <w:r>
        <w:rPr>
          <w:rStyle w:val="Hyperlink"/>
          <w:rFonts w:asciiTheme="minorEastAsia" w:hAnsiTheme="minorEastAsia" w:cs="宋体" w:hint="eastAsia"/>
          <w:color w:val="auto"/>
          <w:sz w:val="20"/>
          <w:szCs w:val="20"/>
        </w:rPr>
        <w:t>个主要城市最低工资和社平工资数据参考</w:t>
      </w:r>
    </w:p>
    <w:p w:rsidR="00FA6EAA" w:rsidRDefault="001508B4">
      <w:pPr>
        <w:pStyle w:val="ListParagraph1"/>
        <w:numPr>
          <w:ilvl w:val="0"/>
          <w:numId w:val="4"/>
        </w:numPr>
        <w:autoSpaceDE w:val="0"/>
        <w:autoSpaceDN w:val="0"/>
        <w:adjustRightInd w:val="0"/>
        <w:spacing w:line="300" w:lineRule="exact"/>
        <w:ind w:firstLine="400"/>
        <w:rPr>
          <w:rStyle w:val="Hyperlink"/>
          <w:rFonts w:asciiTheme="minorEastAsia" w:hAnsiTheme="minorEastAsia"/>
          <w:bCs/>
          <w:color w:val="auto"/>
          <w:sz w:val="20"/>
          <w:szCs w:val="20"/>
        </w:rPr>
      </w:pPr>
      <w:r>
        <w:rPr>
          <w:rStyle w:val="Hyperlink"/>
          <w:rFonts w:asciiTheme="minorEastAsia" w:hAnsiTheme="minorEastAsia" w:cs="宋体" w:hint="eastAsia"/>
          <w:color w:val="auto"/>
          <w:sz w:val="20"/>
          <w:szCs w:val="20"/>
        </w:rPr>
        <w:t>中国</w:t>
      </w:r>
      <w:r>
        <w:rPr>
          <w:rStyle w:val="Hyperlink"/>
          <w:rFonts w:asciiTheme="minorEastAsia" w:hAnsiTheme="minorEastAsia"/>
          <w:color w:val="auto"/>
          <w:sz w:val="20"/>
          <w:szCs w:val="20"/>
        </w:rPr>
        <w:t>50</w:t>
      </w:r>
      <w:r>
        <w:rPr>
          <w:rStyle w:val="Hyperlink"/>
          <w:rFonts w:asciiTheme="minorEastAsia" w:hAnsiTheme="minorEastAsia" w:cs="宋体" w:hint="eastAsia"/>
          <w:color w:val="auto"/>
          <w:sz w:val="20"/>
          <w:szCs w:val="20"/>
        </w:rPr>
        <w:t>个主要城市住房公积金相关数据参考</w:t>
      </w:r>
    </w:p>
    <w:p w:rsidR="00FA6EAA" w:rsidRDefault="001508B4">
      <w:pPr>
        <w:pStyle w:val="ListParagraph1"/>
        <w:numPr>
          <w:ilvl w:val="0"/>
          <w:numId w:val="4"/>
        </w:numPr>
        <w:autoSpaceDE w:val="0"/>
        <w:autoSpaceDN w:val="0"/>
        <w:adjustRightInd w:val="0"/>
        <w:spacing w:line="300" w:lineRule="exact"/>
        <w:ind w:firstLine="400"/>
        <w:rPr>
          <w:rFonts w:asciiTheme="minorEastAsia" w:hAnsiTheme="minorEastAsia"/>
          <w:bCs/>
          <w:sz w:val="20"/>
          <w:szCs w:val="20"/>
        </w:rPr>
      </w:pPr>
      <w:r>
        <w:rPr>
          <w:rStyle w:val="Hyperlink"/>
          <w:rFonts w:asciiTheme="minorEastAsia" w:hAnsiTheme="minorEastAsia" w:cs="宋体" w:hint="eastAsia"/>
          <w:color w:val="auto"/>
          <w:sz w:val="20"/>
          <w:szCs w:val="20"/>
        </w:rPr>
        <w:t>中国</w:t>
      </w:r>
      <w:r>
        <w:rPr>
          <w:rStyle w:val="Hyperlink"/>
          <w:rFonts w:asciiTheme="minorEastAsia" w:hAnsiTheme="minorEastAsia"/>
          <w:color w:val="auto"/>
          <w:sz w:val="20"/>
          <w:szCs w:val="20"/>
        </w:rPr>
        <w:t>50</w:t>
      </w:r>
      <w:r>
        <w:rPr>
          <w:rStyle w:val="Hyperlink"/>
          <w:rFonts w:asciiTheme="minorEastAsia" w:hAnsiTheme="minorEastAsia" w:cs="宋体" w:hint="eastAsia"/>
          <w:color w:val="auto"/>
          <w:sz w:val="20"/>
          <w:szCs w:val="20"/>
        </w:rPr>
        <w:t>个主要城市工伤保险待遇相关数据参考</w:t>
      </w:r>
    </w:p>
    <w:p w:rsidR="00FA6EAA" w:rsidRDefault="001508B4">
      <w:pPr>
        <w:pStyle w:val="ListParagraph1"/>
        <w:numPr>
          <w:ilvl w:val="0"/>
          <w:numId w:val="3"/>
        </w:numPr>
        <w:autoSpaceDE w:val="0"/>
        <w:autoSpaceDN w:val="0"/>
        <w:adjustRightInd w:val="0"/>
        <w:spacing w:line="300" w:lineRule="exact"/>
        <w:ind w:firstLine="402"/>
        <w:rPr>
          <w:rFonts w:ascii="新宋体" w:eastAsia="新宋体" w:hAnsi="新宋体"/>
          <w:b/>
          <w:sz w:val="20"/>
          <w:szCs w:val="20"/>
        </w:rPr>
      </w:pPr>
      <w:r>
        <w:rPr>
          <w:rFonts w:ascii="新宋体" w:eastAsia="新宋体" w:hAnsi="新宋体" w:hint="eastAsia"/>
          <w:b/>
          <w:sz w:val="20"/>
          <w:szCs w:val="20"/>
        </w:rPr>
        <w:t>计算器：</w:t>
      </w:r>
      <w:r>
        <w:rPr>
          <w:rFonts w:ascii="新宋体" w:eastAsia="新宋体" w:hAnsi="新宋体" w:hint="eastAsia"/>
          <w:bCs/>
          <w:sz w:val="20"/>
          <w:szCs w:val="20"/>
        </w:rPr>
        <w:t>提供带薪休假、经济补偿金、患病或非因公负伤医疗期计算器，根据法律规定轻松得出相关数据。</w:t>
      </w:r>
    </w:p>
    <w:p w:rsidR="00FA6EAA" w:rsidRDefault="001508B4">
      <w:pPr>
        <w:pStyle w:val="ListParagraph1"/>
        <w:numPr>
          <w:ilvl w:val="0"/>
          <w:numId w:val="3"/>
        </w:numPr>
        <w:autoSpaceDE w:val="0"/>
        <w:autoSpaceDN w:val="0"/>
        <w:adjustRightInd w:val="0"/>
        <w:spacing w:line="300" w:lineRule="exact"/>
        <w:ind w:firstLine="402"/>
        <w:rPr>
          <w:rFonts w:ascii="新宋体" w:eastAsia="新宋体" w:hAnsi="新宋体"/>
          <w:bCs/>
          <w:sz w:val="20"/>
          <w:szCs w:val="20"/>
        </w:rPr>
      </w:pPr>
      <w:r>
        <w:rPr>
          <w:rFonts w:ascii="新宋体" w:eastAsia="新宋体" w:hAnsi="新宋体" w:hint="eastAsia"/>
          <w:b/>
          <w:sz w:val="20"/>
          <w:szCs w:val="20"/>
        </w:rPr>
        <w:t>视频解读：</w:t>
      </w:r>
      <w:r>
        <w:rPr>
          <w:rFonts w:ascii="新宋体" w:eastAsia="新宋体" w:hAnsi="新宋体" w:hint="eastAsia"/>
          <w:bCs/>
          <w:sz w:val="20"/>
          <w:szCs w:val="20"/>
        </w:rPr>
        <w:t>收集劳动法领域近</w:t>
      </w:r>
      <w:r>
        <w:rPr>
          <w:rFonts w:ascii="新宋体" w:eastAsia="新宋体" w:hAnsi="新宋体"/>
          <w:bCs/>
          <w:sz w:val="20"/>
          <w:szCs w:val="20"/>
        </w:rPr>
        <w:t>40</w:t>
      </w:r>
      <w:r>
        <w:rPr>
          <w:rFonts w:ascii="新宋体" w:eastAsia="新宋体" w:hAnsi="新宋体" w:hint="eastAsia"/>
          <w:bCs/>
          <w:sz w:val="20"/>
          <w:szCs w:val="20"/>
        </w:rPr>
        <w:t>个视频，由劳动法领域专家详细解读劳动合同、事实劳动关系、加班费、劳务派遣等热点话题。</w:t>
      </w:r>
    </w:p>
    <w:p w:rsidR="00FA6EAA" w:rsidRDefault="00FA6EAA">
      <w:pPr>
        <w:numPr>
          <w:ilvl w:val="0"/>
          <w:numId w:val="3"/>
        </w:numPr>
        <w:autoSpaceDE w:val="0"/>
        <w:autoSpaceDN w:val="0"/>
        <w:adjustRightInd w:val="0"/>
        <w:spacing w:line="300" w:lineRule="exact"/>
        <w:rPr>
          <w:rFonts w:ascii="新宋体" w:eastAsia="新宋体" w:hAnsi="新宋体"/>
          <w:bCs/>
          <w:sz w:val="20"/>
          <w:szCs w:val="20"/>
        </w:rPr>
      </w:pPr>
    </w:p>
    <w:p w:rsidR="00FA6EAA" w:rsidRDefault="001508B4">
      <w:pPr>
        <w:pStyle w:val="ListParagraph1"/>
        <w:numPr>
          <w:ilvl w:val="0"/>
          <w:numId w:val="1"/>
        </w:numPr>
        <w:autoSpaceDE w:val="0"/>
        <w:autoSpaceDN w:val="0"/>
        <w:adjustRightInd w:val="0"/>
        <w:spacing w:line="300" w:lineRule="exact"/>
        <w:ind w:firstLine="402"/>
        <w:rPr>
          <w:rFonts w:ascii="新宋体" w:eastAsia="新宋体" w:hAnsi="新宋体"/>
          <w:b/>
          <w:sz w:val="20"/>
          <w:szCs w:val="20"/>
        </w:rPr>
      </w:pPr>
      <w:r>
        <w:rPr>
          <w:rFonts w:ascii="新宋体" w:eastAsia="新宋体" w:hAnsi="新宋体" w:hint="eastAsia"/>
          <w:b/>
          <w:sz w:val="20"/>
          <w:szCs w:val="20"/>
        </w:rPr>
        <w:t>小威课堂：</w:t>
      </w:r>
      <w:r>
        <w:rPr>
          <w:rFonts w:ascii="新宋体" w:eastAsia="新宋体" w:hAnsi="新宋体" w:hint="eastAsia"/>
          <w:bCs/>
          <w:sz w:val="20"/>
          <w:szCs w:val="20"/>
        </w:rPr>
        <w:t>将威科举办的针对HR专业人士的线上线下的实务培训内容进行整理，在数据库内进行延伸阅读，通过详细的课堂笔记，在线培训现场的精彩问答。部分内容如下:</w:t>
      </w:r>
    </w:p>
    <w:tbl>
      <w:tblPr>
        <w:tblW w:w="8046" w:type="dxa"/>
        <w:tblInd w:w="817" w:type="dxa"/>
        <w:tblLayout w:type="fixed"/>
        <w:tblLook w:val="04A0" w:firstRow="1" w:lastRow="0" w:firstColumn="1" w:lastColumn="0" w:noHBand="0" w:noVBand="1"/>
      </w:tblPr>
      <w:tblGrid>
        <w:gridCol w:w="3886"/>
        <w:gridCol w:w="4160"/>
      </w:tblGrid>
      <w:tr w:rsidR="00FA6EAA">
        <w:trPr>
          <w:trHeight w:val="288"/>
        </w:trPr>
        <w:tc>
          <w:tcPr>
            <w:tcW w:w="3886" w:type="dxa"/>
            <w:tcBorders>
              <w:top w:val="single" w:sz="4" w:space="0" w:color="auto"/>
              <w:left w:val="single" w:sz="4" w:space="0" w:color="auto"/>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【小威课堂】离职员工的面谈技巧</w:t>
            </w:r>
          </w:p>
        </w:tc>
        <w:tc>
          <w:tcPr>
            <w:tcW w:w="4160" w:type="dxa"/>
            <w:tcBorders>
              <w:top w:val="single" w:sz="4" w:space="0" w:color="auto"/>
              <w:left w:val="nil"/>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[刘昊斌] [劳动合同] [2016.03.03]</w:t>
            </w:r>
          </w:p>
        </w:tc>
      </w:tr>
      <w:tr w:rsidR="00FA6EAA">
        <w:trPr>
          <w:trHeight w:val="300"/>
        </w:trPr>
        <w:tc>
          <w:tcPr>
            <w:tcW w:w="3886" w:type="dxa"/>
            <w:tcBorders>
              <w:top w:val="nil"/>
              <w:left w:val="single" w:sz="4" w:space="0" w:color="auto"/>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【小威课堂】灵活用工及法律风险提示</w:t>
            </w:r>
          </w:p>
        </w:tc>
        <w:tc>
          <w:tcPr>
            <w:tcW w:w="4160" w:type="dxa"/>
            <w:tcBorders>
              <w:top w:val="nil"/>
              <w:left w:val="nil"/>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[俞斌] [特殊用工形式和特殊劳动关系] [2016.01.01]</w:t>
            </w:r>
          </w:p>
        </w:tc>
      </w:tr>
      <w:tr w:rsidR="00FA6EAA">
        <w:trPr>
          <w:trHeight w:val="300"/>
        </w:trPr>
        <w:tc>
          <w:tcPr>
            <w:tcW w:w="3886" w:type="dxa"/>
            <w:tcBorders>
              <w:top w:val="nil"/>
              <w:left w:val="single" w:sz="4" w:space="0" w:color="auto"/>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【小威课堂】HR如何在日常工作中培养证据意识</w:t>
            </w:r>
          </w:p>
        </w:tc>
        <w:tc>
          <w:tcPr>
            <w:tcW w:w="4160" w:type="dxa"/>
            <w:tcBorders>
              <w:top w:val="nil"/>
              <w:left w:val="nil"/>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[谢燕萍] [其他话题] [2015.11.04]</w:t>
            </w:r>
          </w:p>
        </w:tc>
      </w:tr>
      <w:tr w:rsidR="00FA6EAA">
        <w:trPr>
          <w:trHeight w:val="660"/>
        </w:trPr>
        <w:tc>
          <w:tcPr>
            <w:tcW w:w="3886" w:type="dxa"/>
            <w:tcBorders>
              <w:top w:val="nil"/>
              <w:left w:val="single" w:sz="4" w:space="0" w:color="auto"/>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【小威课堂】商业秘密保护与竞业限制实务案例数据分析之视角</w:t>
            </w:r>
          </w:p>
        </w:tc>
        <w:tc>
          <w:tcPr>
            <w:tcW w:w="4160" w:type="dxa"/>
            <w:tcBorders>
              <w:top w:val="nil"/>
              <w:left w:val="nil"/>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[仇少明] [劳动合同] [2015.09.07]</w:t>
            </w:r>
          </w:p>
        </w:tc>
      </w:tr>
      <w:tr w:rsidR="00FA6EAA">
        <w:trPr>
          <w:trHeight w:val="648"/>
        </w:trPr>
        <w:tc>
          <w:tcPr>
            <w:tcW w:w="3886" w:type="dxa"/>
            <w:tcBorders>
              <w:top w:val="nil"/>
              <w:left w:val="single" w:sz="4" w:space="0" w:color="auto"/>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【小威课堂】非标准劳动关系下的用工管理</w:t>
            </w:r>
          </w:p>
        </w:tc>
        <w:tc>
          <w:tcPr>
            <w:tcW w:w="4160" w:type="dxa"/>
            <w:tcBorders>
              <w:top w:val="nil"/>
              <w:left w:val="nil"/>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[姚均昌] [特殊用工形式和特殊劳动关系] [2015.08.21]</w:t>
            </w:r>
          </w:p>
        </w:tc>
      </w:tr>
      <w:tr w:rsidR="00FA6EAA">
        <w:trPr>
          <w:trHeight w:val="528"/>
        </w:trPr>
        <w:tc>
          <w:tcPr>
            <w:tcW w:w="3886" w:type="dxa"/>
            <w:tcBorders>
              <w:top w:val="nil"/>
              <w:left w:val="single" w:sz="4" w:space="0" w:color="auto"/>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【小威课堂】企业如何对违反公序良俗原则的员工进行处理</w:t>
            </w:r>
          </w:p>
        </w:tc>
        <w:tc>
          <w:tcPr>
            <w:tcW w:w="4160" w:type="dxa"/>
            <w:tcBorders>
              <w:top w:val="nil"/>
              <w:left w:val="nil"/>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[杨保全] [企业内部管理] [2015.08.05]</w:t>
            </w:r>
          </w:p>
        </w:tc>
      </w:tr>
      <w:tr w:rsidR="00FA6EAA">
        <w:trPr>
          <w:trHeight w:val="300"/>
        </w:trPr>
        <w:tc>
          <w:tcPr>
            <w:tcW w:w="3886" w:type="dxa"/>
            <w:tcBorders>
              <w:top w:val="nil"/>
              <w:left w:val="single" w:sz="4" w:space="0" w:color="auto"/>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【小威课堂】工资支付中的常见风险与应对策略</w:t>
            </w:r>
          </w:p>
        </w:tc>
        <w:tc>
          <w:tcPr>
            <w:tcW w:w="4160" w:type="dxa"/>
            <w:tcBorders>
              <w:top w:val="nil"/>
              <w:left w:val="nil"/>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[程阳] [薪酬和福利] [2015.07.24]</w:t>
            </w:r>
          </w:p>
        </w:tc>
      </w:tr>
      <w:tr w:rsidR="00FA6EAA">
        <w:trPr>
          <w:trHeight w:val="300"/>
        </w:trPr>
        <w:tc>
          <w:tcPr>
            <w:tcW w:w="3886" w:type="dxa"/>
            <w:tcBorders>
              <w:top w:val="nil"/>
              <w:left w:val="nil"/>
              <w:bottom w:val="nil"/>
              <w:right w:val="nil"/>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【小威课堂】企业裁员法律操作实务</w:t>
            </w:r>
          </w:p>
        </w:tc>
        <w:tc>
          <w:tcPr>
            <w:tcW w:w="4160" w:type="dxa"/>
            <w:tcBorders>
              <w:top w:val="nil"/>
              <w:left w:val="single" w:sz="4" w:space="0" w:color="auto"/>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[朱一] [劳动合同] [2015.06.08]</w:t>
            </w:r>
          </w:p>
        </w:tc>
      </w:tr>
      <w:tr w:rsidR="00FA6EAA">
        <w:trPr>
          <w:trHeight w:val="300"/>
        </w:trPr>
        <w:tc>
          <w:tcPr>
            <w:tcW w:w="3886" w:type="dxa"/>
            <w:tcBorders>
              <w:top w:val="single" w:sz="4" w:space="0" w:color="auto"/>
              <w:left w:val="single" w:sz="4" w:space="0" w:color="auto"/>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lastRenderedPageBreak/>
              <w:t>【小威课堂】三期女员工管理中的常见法律问题</w:t>
            </w:r>
          </w:p>
        </w:tc>
        <w:tc>
          <w:tcPr>
            <w:tcW w:w="4160" w:type="dxa"/>
            <w:tcBorders>
              <w:top w:val="nil"/>
              <w:left w:val="nil"/>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[张根旺] [其他话题] [2015.05.25]</w:t>
            </w:r>
          </w:p>
        </w:tc>
      </w:tr>
      <w:tr w:rsidR="00FA6EAA">
        <w:trPr>
          <w:trHeight w:val="300"/>
        </w:trPr>
        <w:tc>
          <w:tcPr>
            <w:tcW w:w="3886" w:type="dxa"/>
            <w:tcBorders>
              <w:top w:val="nil"/>
              <w:left w:val="single" w:sz="4" w:space="0" w:color="auto"/>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【小威课堂】辞退员工管理之法律准备及沟通技巧</w:t>
            </w:r>
          </w:p>
        </w:tc>
        <w:tc>
          <w:tcPr>
            <w:tcW w:w="4160" w:type="dxa"/>
            <w:tcBorders>
              <w:top w:val="nil"/>
              <w:left w:val="nil"/>
              <w:bottom w:val="single" w:sz="4" w:space="0" w:color="auto"/>
              <w:right w:val="single" w:sz="4" w:space="0" w:color="auto"/>
            </w:tcBorders>
            <w:shd w:val="clear" w:color="auto" w:fill="auto"/>
            <w:vAlign w:val="bottom"/>
          </w:tcPr>
          <w:p w:rsidR="00FA6EAA" w:rsidRDefault="001508B4">
            <w:pPr>
              <w:rPr>
                <w:rFonts w:ascii="宋体" w:eastAsia="宋体" w:hAnsi="宋体" w:cs="Times New Roman"/>
                <w:color w:val="000000"/>
                <w:sz w:val="20"/>
                <w:szCs w:val="20"/>
              </w:rPr>
            </w:pPr>
            <w:r>
              <w:rPr>
                <w:rFonts w:ascii="宋体" w:eastAsia="宋体" w:hAnsi="宋体" w:cs="Times New Roman" w:hint="eastAsia"/>
                <w:color w:val="000000"/>
                <w:sz w:val="20"/>
                <w:szCs w:val="20"/>
              </w:rPr>
              <w:t>[劳达集团] [劳动合同] [2015.04.21]</w:t>
            </w:r>
          </w:p>
        </w:tc>
      </w:tr>
    </w:tbl>
    <w:p w:rsidR="00FA6EAA" w:rsidRDefault="00FA6EAA">
      <w:pPr>
        <w:pStyle w:val="ListParagraph1"/>
        <w:autoSpaceDE w:val="0"/>
        <w:autoSpaceDN w:val="0"/>
        <w:adjustRightInd w:val="0"/>
        <w:spacing w:line="300" w:lineRule="exact"/>
        <w:ind w:firstLine="402"/>
        <w:rPr>
          <w:rFonts w:ascii="新宋体" w:eastAsia="新宋体" w:hAnsi="新宋体"/>
          <w:b/>
          <w:sz w:val="20"/>
          <w:szCs w:val="20"/>
        </w:rPr>
      </w:pPr>
    </w:p>
    <w:p w:rsidR="00FA6EAA" w:rsidRDefault="001508B4">
      <w:pPr>
        <w:rPr>
          <w:rFonts w:ascii="新宋体" w:eastAsia="新宋体" w:hAnsi="新宋体"/>
          <w:b/>
          <w:sz w:val="20"/>
          <w:szCs w:val="20"/>
        </w:rPr>
      </w:pPr>
      <w:r>
        <w:rPr>
          <w:rFonts w:ascii="新宋体" w:eastAsia="新宋体" w:hAnsi="新宋体"/>
          <w:b/>
          <w:sz w:val="20"/>
          <w:szCs w:val="20"/>
        </w:rPr>
        <w:br w:type="page"/>
      </w:r>
    </w:p>
    <w:p w:rsidR="00FA6EAA" w:rsidRDefault="00FA6EAA">
      <w:pPr>
        <w:autoSpaceDE w:val="0"/>
        <w:autoSpaceDN w:val="0"/>
        <w:adjustRightInd w:val="0"/>
        <w:jc w:val="left"/>
        <w:rPr>
          <w:rFonts w:ascii="楷体" w:eastAsia="楷体" w:hAnsi="楷体" w:cs="幼圆"/>
          <w:kern w:val="0"/>
          <w:szCs w:val="21"/>
        </w:rPr>
      </w:pPr>
    </w:p>
    <w:sectPr w:rsidR="00FA6EAA">
      <w:pgSz w:w="11906" w:h="16838"/>
      <w:pgMar w:top="1304" w:right="1797" w:bottom="130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F400B"/>
    <w:multiLevelType w:val="multilevel"/>
    <w:tmpl w:val="418F400B"/>
    <w:lvl w:ilvl="0">
      <w:start w:val="4000"/>
      <w:numFmt w:val="bullet"/>
      <w:lvlText w:val="-"/>
      <w:lvlJc w:val="left"/>
      <w:pPr>
        <w:ind w:left="1474" w:hanging="360"/>
      </w:pPr>
      <w:rPr>
        <w:rFonts w:ascii="Times New Roman" w:eastAsia="宋体" w:hAnsi="Times New Roman" w:cs="Times New Roman" w:hint="default"/>
      </w:rPr>
    </w:lvl>
    <w:lvl w:ilvl="1" w:tentative="1">
      <w:start w:val="1"/>
      <w:numFmt w:val="bullet"/>
      <w:lvlText w:val="o"/>
      <w:lvlJc w:val="left"/>
      <w:pPr>
        <w:ind w:left="2194" w:hanging="360"/>
      </w:pPr>
      <w:rPr>
        <w:rFonts w:ascii="Courier New" w:hAnsi="Courier New" w:cs="Courier New" w:hint="default"/>
      </w:rPr>
    </w:lvl>
    <w:lvl w:ilvl="2" w:tentative="1">
      <w:start w:val="1"/>
      <w:numFmt w:val="bullet"/>
      <w:lvlText w:val=""/>
      <w:lvlJc w:val="left"/>
      <w:pPr>
        <w:ind w:left="2914" w:hanging="360"/>
      </w:pPr>
      <w:rPr>
        <w:rFonts w:ascii="Wingdings" w:hAnsi="Wingdings" w:hint="default"/>
      </w:rPr>
    </w:lvl>
    <w:lvl w:ilvl="3" w:tentative="1">
      <w:start w:val="1"/>
      <w:numFmt w:val="bullet"/>
      <w:lvlText w:val=""/>
      <w:lvlJc w:val="left"/>
      <w:pPr>
        <w:ind w:left="3634" w:hanging="360"/>
      </w:pPr>
      <w:rPr>
        <w:rFonts w:ascii="Symbol" w:hAnsi="Symbol" w:hint="default"/>
      </w:rPr>
    </w:lvl>
    <w:lvl w:ilvl="4" w:tentative="1">
      <w:start w:val="1"/>
      <w:numFmt w:val="bullet"/>
      <w:lvlText w:val="o"/>
      <w:lvlJc w:val="left"/>
      <w:pPr>
        <w:ind w:left="4354" w:hanging="360"/>
      </w:pPr>
      <w:rPr>
        <w:rFonts w:ascii="Courier New" w:hAnsi="Courier New" w:cs="Courier New" w:hint="default"/>
      </w:rPr>
    </w:lvl>
    <w:lvl w:ilvl="5" w:tentative="1">
      <w:start w:val="1"/>
      <w:numFmt w:val="bullet"/>
      <w:lvlText w:val=""/>
      <w:lvlJc w:val="left"/>
      <w:pPr>
        <w:ind w:left="5074" w:hanging="360"/>
      </w:pPr>
      <w:rPr>
        <w:rFonts w:ascii="Wingdings" w:hAnsi="Wingdings" w:hint="default"/>
      </w:rPr>
    </w:lvl>
    <w:lvl w:ilvl="6" w:tentative="1">
      <w:start w:val="1"/>
      <w:numFmt w:val="bullet"/>
      <w:lvlText w:val=""/>
      <w:lvlJc w:val="left"/>
      <w:pPr>
        <w:ind w:left="5794" w:hanging="360"/>
      </w:pPr>
      <w:rPr>
        <w:rFonts w:ascii="Symbol" w:hAnsi="Symbol" w:hint="default"/>
      </w:rPr>
    </w:lvl>
    <w:lvl w:ilvl="7" w:tentative="1">
      <w:start w:val="1"/>
      <w:numFmt w:val="bullet"/>
      <w:lvlText w:val="o"/>
      <w:lvlJc w:val="left"/>
      <w:pPr>
        <w:ind w:left="6514" w:hanging="360"/>
      </w:pPr>
      <w:rPr>
        <w:rFonts w:ascii="Courier New" w:hAnsi="Courier New" w:cs="Courier New" w:hint="default"/>
      </w:rPr>
    </w:lvl>
    <w:lvl w:ilvl="8" w:tentative="1">
      <w:start w:val="1"/>
      <w:numFmt w:val="bullet"/>
      <w:lvlText w:val=""/>
      <w:lvlJc w:val="left"/>
      <w:pPr>
        <w:ind w:left="7234" w:hanging="360"/>
      </w:pPr>
      <w:rPr>
        <w:rFonts w:ascii="Wingdings" w:hAnsi="Wingdings" w:hint="default"/>
      </w:rPr>
    </w:lvl>
  </w:abstractNum>
  <w:abstractNum w:abstractNumId="1">
    <w:nsid w:val="56123ED3"/>
    <w:multiLevelType w:val="multilevel"/>
    <w:tmpl w:val="56123ED3"/>
    <w:lvl w:ilvl="0">
      <w:start w:val="4000"/>
      <w:numFmt w:val="bullet"/>
      <w:lvlText w:val="-"/>
      <w:lvlJc w:val="left"/>
      <w:pPr>
        <w:ind w:left="1474" w:hanging="360"/>
      </w:pPr>
      <w:rPr>
        <w:rFonts w:ascii="Times New Roman" w:eastAsia="宋体" w:hAnsi="Times New Roman" w:cs="Times New Roman" w:hint="default"/>
      </w:rPr>
    </w:lvl>
    <w:lvl w:ilvl="1" w:tentative="1">
      <w:start w:val="1"/>
      <w:numFmt w:val="bullet"/>
      <w:lvlText w:val="o"/>
      <w:lvlJc w:val="left"/>
      <w:pPr>
        <w:ind w:left="2194" w:hanging="360"/>
      </w:pPr>
      <w:rPr>
        <w:rFonts w:ascii="Courier New" w:hAnsi="Courier New" w:cs="Courier New" w:hint="default"/>
      </w:rPr>
    </w:lvl>
    <w:lvl w:ilvl="2" w:tentative="1">
      <w:start w:val="1"/>
      <w:numFmt w:val="bullet"/>
      <w:lvlText w:val=""/>
      <w:lvlJc w:val="left"/>
      <w:pPr>
        <w:ind w:left="2914" w:hanging="360"/>
      </w:pPr>
      <w:rPr>
        <w:rFonts w:ascii="Wingdings" w:hAnsi="Wingdings" w:hint="default"/>
      </w:rPr>
    </w:lvl>
    <w:lvl w:ilvl="3" w:tentative="1">
      <w:start w:val="1"/>
      <w:numFmt w:val="bullet"/>
      <w:lvlText w:val=""/>
      <w:lvlJc w:val="left"/>
      <w:pPr>
        <w:ind w:left="3634" w:hanging="360"/>
      </w:pPr>
      <w:rPr>
        <w:rFonts w:ascii="Symbol" w:hAnsi="Symbol" w:hint="default"/>
      </w:rPr>
    </w:lvl>
    <w:lvl w:ilvl="4" w:tentative="1">
      <w:start w:val="1"/>
      <w:numFmt w:val="bullet"/>
      <w:lvlText w:val="o"/>
      <w:lvlJc w:val="left"/>
      <w:pPr>
        <w:ind w:left="4354" w:hanging="360"/>
      </w:pPr>
      <w:rPr>
        <w:rFonts w:ascii="Courier New" w:hAnsi="Courier New" w:cs="Courier New" w:hint="default"/>
      </w:rPr>
    </w:lvl>
    <w:lvl w:ilvl="5" w:tentative="1">
      <w:start w:val="1"/>
      <w:numFmt w:val="bullet"/>
      <w:lvlText w:val=""/>
      <w:lvlJc w:val="left"/>
      <w:pPr>
        <w:ind w:left="5074" w:hanging="360"/>
      </w:pPr>
      <w:rPr>
        <w:rFonts w:ascii="Wingdings" w:hAnsi="Wingdings" w:hint="default"/>
      </w:rPr>
    </w:lvl>
    <w:lvl w:ilvl="6" w:tentative="1">
      <w:start w:val="1"/>
      <w:numFmt w:val="bullet"/>
      <w:lvlText w:val=""/>
      <w:lvlJc w:val="left"/>
      <w:pPr>
        <w:ind w:left="5794" w:hanging="360"/>
      </w:pPr>
      <w:rPr>
        <w:rFonts w:ascii="Symbol" w:hAnsi="Symbol" w:hint="default"/>
      </w:rPr>
    </w:lvl>
    <w:lvl w:ilvl="7" w:tentative="1">
      <w:start w:val="1"/>
      <w:numFmt w:val="bullet"/>
      <w:lvlText w:val="o"/>
      <w:lvlJc w:val="left"/>
      <w:pPr>
        <w:ind w:left="6514" w:hanging="360"/>
      </w:pPr>
      <w:rPr>
        <w:rFonts w:ascii="Courier New" w:hAnsi="Courier New" w:cs="Courier New" w:hint="default"/>
      </w:rPr>
    </w:lvl>
    <w:lvl w:ilvl="8" w:tentative="1">
      <w:start w:val="1"/>
      <w:numFmt w:val="bullet"/>
      <w:lvlText w:val=""/>
      <w:lvlJc w:val="left"/>
      <w:pPr>
        <w:ind w:left="7234" w:hanging="360"/>
      </w:pPr>
      <w:rPr>
        <w:rFonts w:ascii="Wingdings" w:hAnsi="Wingdings" w:hint="default"/>
      </w:rPr>
    </w:lvl>
  </w:abstractNum>
  <w:abstractNum w:abstractNumId="2">
    <w:nsid w:val="59654ECE"/>
    <w:multiLevelType w:val="multilevel"/>
    <w:tmpl w:val="59654E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8402308"/>
    <w:multiLevelType w:val="multilevel"/>
    <w:tmpl w:val="68402308"/>
    <w:lvl w:ilvl="0">
      <w:start w:val="1"/>
      <w:numFmt w:val="lowerLetter"/>
      <w:lvlText w:val="%1)"/>
      <w:lvlJc w:val="left"/>
      <w:pPr>
        <w:ind w:left="1834" w:hanging="360"/>
      </w:pPr>
      <w:rPr>
        <w:rFonts w:hint="default"/>
      </w:rPr>
    </w:lvl>
    <w:lvl w:ilvl="1" w:tentative="1">
      <w:start w:val="1"/>
      <w:numFmt w:val="bullet"/>
      <w:lvlText w:val="o"/>
      <w:lvlJc w:val="left"/>
      <w:pPr>
        <w:ind w:left="2554" w:hanging="360"/>
      </w:pPr>
      <w:rPr>
        <w:rFonts w:ascii="Courier New" w:hAnsi="Courier New" w:cs="Courier New" w:hint="default"/>
      </w:rPr>
    </w:lvl>
    <w:lvl w:ilvl="2" w:tentative="1">
      <w:start w:val="1"/>
      <w:numFmt w:val="bullet"/>
      <w:lvlText w:val=""/>
      <w:lvlJc w:val="left"/>
      <w:pPr>
        <w:ind w:left="3274" w:hanging="360"/>
      </w:pPr>
      <w:rPr>
        <w:rFonts w:ascii="Wingdings" w:hAnsi="Wingdings" w:hint="default"/>
      </w:rPr>
    </w:lvl>
    <w:lvl w:ilvl="3" w:tentative="1">
      <w:start w:val="1"/>
      <w:numFmt w:val="bullet"/>
      <w:lvlText w:val=""/>
      <w:lvlJc w:val="left"/>
      <w:pPr>
        <w:ind w:left="3994" w:hanging="360"/>
      </w:pPr>
      <w:rPr>
        <w:rFonts w:ascii="Symbol" w:hAnsi="Symbol" w:hint="default"/>
      </w:rPr>
    </w:lvl>
    <w:lvl w:ilvl="4" w:tentative="1">
      <w:start w:val="1"/>
      <w:numFmt w:val="bullet"/>
      <w:lvlText w:val="o"/>
      <w:lvlJc w:val="left"/>
      <w:pPr>
        <w:ind w:left="4714" w:hanging="360"/>
      </w:pPr>
      <w:rPr>
        <w:rFonts w:ascii="Courier New" w:hAnsi="Courier New" w:cs="Courier New" w:hint="default"/>
      </w:rPr>
    </w:lvl>
    <w:lvl w:ilvl="5" w:tentative="1">
      <w:start w:val="1"/>
      <w:numFmt w:val="bullet"/>
      <w:lvlText w:val=""/>
      <w:lvlJc w:val="left"/>
      <w:pPr>
        <w:ind w:left="5434" w:hanging="360"/>
      </w:pPr>
      <w:rPr>
        <w:rFonts w:ascii="Wingdings" w:hAnsi="Wingdings" w:hint="default"/>
      </w:rPr>
    </w:lvl>
    <w:lvl w:ilvl="6" w:tentative="1">
      <w:start w:val="1"/>
      <w:numFmt w:val="bullet"/>
      <w:lvlText w:val=""/>
      <w:lvlJc w:val="left"/>
      <w:pPr>
        <w:ind w:left="6154" w:hanging="360"/>
      </w:pPr>
      <w:rPr>
        <w:rFonts w:ascii="Symbol" w:hAnsi="Symbol" w:hint="default"/>
      </w:rPr>
    </w:lvl>
    <w:lvl w:ilvl="7" w:tentative="1">
      <w:start w:val="1"/>
      <w:numFmt w:val="bullet"/>
      <w:lvlText w:val="o"/>
      <w:lvlJc w:val="left"/>
      <w:pPr>
        <w:ind w:left="6874" w:hanging="360"/>
      </w:pPr>
      <w:rPr>
        <w:rFonts w:ascii="Courier New" w:hAnsi="Courier New" w:cs="Courier New" w:hint="default"/>
      </w:rPr>
    </w:lvl>
    <w:lvl w:ilvl="8" w:tentative="1">
      <w:start w:val="1"/>
      <w:numFmt w:val="bullet"/>
      <w:lvlText w:val=""/>
      <w:lvlJc w:val="left"/>
      <w:pPr>
        <w:ind w:left="759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DE"/>
    <w:rsid w:val="001508B4"/>
    <w:rsid w:val="00157CD2"/>
    <w:rsid w:val="00182AC1"/>
    <w:rsid w:val="004E7149"/>
    <w:rsid w:val="00565B5F"/>
    <w:rsid w:val="00625D1D"/>
    <w:rsid w:val="006C04DE"/>
    <w:rsid w:val="007346D9"/>
    <w:rsid w:val="00931BF0"/>
    <w:rsid w:val="00953AB2"/>
    <w:rsid w:val="00A2231C"/>
    <w:rsid w:val="00A45C9F"/>
    <w:rsid w:val="00A86E84"/>
    <w:rsid w:val="00AA2D19"/>
    <w:rsid w:val="00AB47E1"/>
    <w:rsid w:val="00AB4966"/>
    <w:rsid w:val="00B17963"/>
    <w:rsid w:val="00B21640"/>
    <w:rsid w:val="00C8577B"/>
    <w:rsid w:val="00DF2A3E"/>
    <w:rsid w:val="00DF5B3C"/>
    <w:rsid w:val="00E86015"/>
    <w:rsid w:val="00E86428"/>
    <w:rsid w:val="00FA0641"/>
    <w:rsid w:val="00FA6EAA"/>
    <w:rsid w:val="00FD3A4C"/>
    <w:rsid w:val="00FE0D2D"/>
    <w:rsid w:val="06EE6EF3"/>
    <w:rsid w:val="3BA06B61"/>
    <w:rsid w:val="5B91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607CA-FB8D-41AD-8F1E-056BE8BD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rPr>
      <w:sz w:val="20"/>
      <w:szCs w:val="20"/>
    </w:rPr>
  </w:style>
  <w:style w:type="paragraph" w:styleId="Subtitle">
    <w:name w:val="Subtitle"/>
    <w:basedOn w:val="Normal"/>
    <w:next w:val="Normal"/>
    <w:link w:val="SubtitleChar"/>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SubtitleChar">
    <w:name w:val="Subtitle Char"/>
    <w:basedOn w:val="DefaultParagraphFont"/>
    <w:link w:val="Subtitle"/>
    <w:uiPriority w:val="11"/>
    <w:qFormat/>
    <w:rPr>
      <w:rFonts w:asciiTheme="majorHAnsi" w:eastAsia="宋体" w:hAnsiTheme="majorHAnsi" w:cstheme="majorBidi"/>
      <w:b/>
      <w:bCs/>
      <w:kern w:val="28"/>
      <w:sz w:val="32"/>
      <w:szCs w:val="32"/>
    </w:rPr>
  </w:style>
  <w:style w:type="paragraph" w:customStyle="1" w:styleId="NoSpacing1">
    <w:name w:val="No Spacing1"/>
    <w:uiPriority w:val="1"/>
    <w:qFormat/>
    <w:pPr>
      <w:widowControl w:val="0"/>
      <w:jc w:val="both"/>
    </w:pPr>
    <w:rPr>
      <w:kern w:val="2"/>
      <w:sz w:val="21"/>
      <w:szCs w:val="22"/>
    </w:rPr>
  </w:style>
  <w:style w:type="paragraph" w:customStyle="1" w:styleId="ListParagraph1">
    <w:name w:val="List Paragraph1"/>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224496">
      <w:bodyDiv w:val="1"/>
      <w:marLeft w:val="0"/>
      <w:marRight w:val="0"/>
      <w:marTop w:val="0"/>
      <w:marBottom w:val="0"/>
      <w:divBdr>
        <w:top w:val="none" w:sz="0" w:space="0" w:color="auto"/>
        <w:left w:val="none" w:sz="0" w:space="0" w:color="auto"/>
        <w:bottom w:val="none" w:sz="0" w:space="0" w:color="auto"/>
        <w:right w:val="none" w:sz="0" w:space="0" w:color="auto"/>
      </w:divBdr>
    </w:div>
    <w:div w:id="160537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kinfo.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Wolters Kluwer Asia Pacific</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Li</dc:creator>
  <cp:lastModifiedBy>a</cp:lastModifiedBy>
  <cp:revision>12</cp:revision>
  <dcterms:created xsi:type="dcterms:W3CDTF">2012-03-07T08:27:00Z</dcterms:created>
  <dcterms:modified xsi:type="dcterms:W3CDTF">2017-03-29T13:45:00Z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