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DE" w:rsidRPr="00B21640" w:rsidRDefault="006C04DE" w:rsidP="00A45C9F">
      <w:pPr>
        <w:widowControl/>
        <w:spacing w:line="276" w:lineRule="auto"/>
        <w:jc w:val="left"/>
        <w:rPr>
          <w:rStyle w:val="SubtitleChar"/>
          <w:rFonts w:asciiTheme="minorHAnsi" w:eastAsia="楷体" w:hAnsiTheme="minorHAnsi" w:cstheme="minorHAnsi"/>
          <w:b w:val="0"/>
          <w:sz w:val="21"/>
          <w:szCs w:val="21"/>
        </w:rPr>
      </w:pPr>
      <w:r w:rsidRPr="00A45C9F">
        <w:rPr>
          <w:rFonts w:ascii="黑体" w:eastAsia="黑体" w:hAnsi="黑体" w:cstheme="minorHAnsi"/>
          <w:b/>
          <w:color w:val="0070C0"/>
          <w:szCs w:val="21"/>
        </w:rPr>
        <w:t>数据库名称</w:t>
      </w:r>
      <w:r w:rsidRPr="00A45C9F">
        <w:rPr>
          <w:rFonts w:ascii="黑体" w:eastAsia="黑体" w:hAnsi="黑体" w:cstheme="minorHAnsi"/>
          <w:b/>
          <w:szCs w:val="21"/>
        </w:rPr>
        <w:t>：</w:t>
      </w:r>
      <w:r w:rsidRPr="00F65421">
        <w:rPr>
          <w:rStyle w:val="SubtitleChar"/>
          <w:rFonts w:ascii="新宋体" w:eastAsia="新宋体" w:hAnsi="新宋体" w:cstheme="minorHAnsi"/>
          <w:b w:val="0"/>
          <w:sz w:val="18"/>
          <w:szCs w:val="18"/>
        </w:rPr>
        <w:t>威科</w:t>
      </w:r>
      <w:r w:rsidR="0004422F" w:rsidRPr="00F65421"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>国际</w:t>
      </w:r>
      <w:r w:rsidR="00CB33F5" w:rsidRPr="00F65421"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>知识产权</w:t>
      </w:r>
      <w:r w:rsidR="00CA5E1E" w:rsidRPr="00F65421"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>法律</w:t>
      </w:r>
      <w:r w:rsidR="002D436E" w:rsidRPr="00F65421"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>数据库</w:t>
      </w:r>
      <w:r w:rsidR="00CB33F5" w:rsidRPr="00F65421"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 xml:space="preserve"> Kluwer </w:t>
      </w:r>
      <w:r w:rsidR="002D436E" w:rsidRPr="00F65421"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>IP</w:t>
      </w:r>
      <w:r w:rsidR="00CB33F5" w:rsidRPr="00F65421"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 xml:space="preserve"> Law</w:t>
      </w:r>
    </w:p>
    <w:p w:rsidR="00DF2A3E" w:rsidRPr="00B21640" w:rsidRDefault="006C04DE" w:rsidP="00A45C9F">
      <w:pPr>
        <w:spacing w:line="276" w:lineRule="auto"/>
        <w:rPr>
          <w:rFonts w:eastAsia="楷体" w:cstheme="minorHAnsi"/>
          <w:szCs w:val="21"/>
        </w:rPr>
      </w:pPr>
      <w:r w:rsidRPr="00A45C9F">
        <w:rPr>
          <w:rFonts w:ascii="黑体" w:eastAsia="黑体" w:hAnsi="黑体" w:cstheme="minorHAnsi"/>
          <w:b/>
          <w:color w:val="0070C0"/>
          <w:szCs w:val="21"/>
        </w:rPr>
        <w:t>数据库地址</w:t>
      </w:r>
      <w:r w:rsidRPr="00B21640">
        <w:rPr>
          <w:rFonts w:eastAsia="楷体" w:cstheme="minorHAnsi"/>
          <w:szCs w:val="21"/>
        </w:rPr>
        <w:t>：</w:t>
      </w:r>
      <w:hyperlink r:id="rId6" w:history="1">
        <w:r w:rsidR="002D436E" w:rsidRPr="00AB6EF0">
          <w:rPr>
            <w:rStyle w:val="Hyperlink"/>
            <w:rFonts w:eastAsia="楷体" w:cstheme="minorHAnsi"/>
            <w:szCs w:val="21"/>
          </w:rPr>
          <w:t>www.kluwe</w:t>
        </w:r>
        <w:r w:rsidR="002D436E" w:rsidRPr="00AB6EF0">
          <w:rPr>
            <w:rStyle w:val="Hyperlink"/>
            <w:rFonts w:eastAsia="楷体" w:cstheme="minorHAnsi" w:hint="eastAsia"/>
            <w:szCs w:val="21"/>
          </w:rPr>
          <w:t>rIPLaw</w:t>
        </w:r>
        <w:r w:rsidR="002D436E" w:rsidRPr="00AB6EF0">
          <w:rPr>
            <w:rStyle w:val="Hyperlink"/>
            <w:rFonts w:eastAsia="楷体" w:cstheme="minorHAnsi"/>
            <w:szCs w:val="21"/>
          </w:rPr>
          <w:t>.com</w:t>
        </w:r>
      </w:hyperlink>
      <w:r w:rsidRPr="00B21640">
        <w:rPr>
          <w:rFonts w:eastAsia="楷体" w:cstheme="minorHAnsi"/>
          <w:szCs w:val="21"/>
        </w:rPr>
        <w:t xml:space="preserve"> </w:t>
      </w:r>
    </w:p>
    <w:p w:rsidR="006C04DE" w:rsidRDefault="006C04DE" w:rsidP="00A45C9F">
      <w:pPr>
        <w:spacing w:line="276" w:lineRule="auto"/>
        <w:rPr>
          <w:rStyle w:val="SubtitleChar"/>
          <w:rFonts w:ascii="新宋体" w:eastAsia="新宋体" w:hAnsi="新宋体" w:cstheme="minorHAnsi"/>
          <w:b w:val="0"/>
          <w:sz w:val="18"/>
          <w:szCs w:val="18"/>
        </w:rPr>
      </w:pPr>
      <w:r w:rsidRPr="00A45C9F">
        <w:rPr>
          <w:rFonts w:ascii="黑体" w:eastAsia="黑体" w:hAnsi="黑体" w:cstheme="minorHAnsi"/>
          <w:b/>
          <w:color w:val="0070C0"/>
          <w:szCs w:val="21"/>
        </w:rPr>
        <w:t>数据库类型</w:t>
      </w:r>
      <w:r w:rsidR="00CB33F5">
        <w:rPr>
          <w:rFonts w:eastAsia="楷体" w:cstheme="minorHAnsi"/>
          <w:szCs w:val="21"/>
        </w:rPr>
        <w:t>：</w:t>
      </w:r>
      <w:r w:rsidR="00CB33F5" w:rsidRPr="00F65421"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>法律法规、判例、评述</w:t>
      </w:r>
    </w:p>
    <w:p w:rsidR="00B10545" w:rsidRPr="00B10545" w:rsidRDefault="00B10545" w:rsidP="00B10545">
      <w:pPr>
        <w:pStyle w:val="NoSpacing1"/>
        <w:rPr>
          <w:rFonts w:hint="eastAsia"/>
        </w:rPr>
      </w:pPr>
      <w:r>
        <w:rPr>
          <w:rFonts w:ascii="黑体" w:eastAsia="黑体" w:hAnsi="黑体" w:hint="eastAsia"/>
          <w:b/>
          <w:color w:val="0070C0"/>
        </w:rPr>
        <w:t>试用期限：</w:t>
      </w:r>
      <w:r>
        <w:rPr>
          <w:rFonts w:ascii="楷体" w:eastAsia="楷体" w:hAnsi="楷体" w:hint="eastAsia"/>
        </w:rPr>
        <w:t xml:space="preserve"> 2017年3月30日-2017年5月29日</w:t>
      </w:r>
      <w:bookmarkStart w:id="0" w:name="_GoBack"/>
      <w:bookmarkEnd w:id="0"/>
    </w:p>
    <w:p w:rsidR="006C04DE" w:rsidRPr="00B21640" w:rsidRDefault="006C04DE" w:rsidP="00A45C9F">
      <w:pPr>
        <w:spacing w:line="276" w:lineRule="auto"/>
        <w:rPr>
          <w:rFonts w:eastAsia="楷体" w:cstheme="minorHAnsi"/>
          <w:szCs w:val="21"/>
        </w:rPr>
      </w:pPr>
      <w:r w:rsidRPr="00A45C9F">
        <w:rPr>
          <w:rFonts w:ascii="黑体" w:eastAsia="黑体" w:hAnsi="黑体" w:cstheme="minorHAnsi"/>
          <w:b/>
          <w:color w:val="0070C0"/>
          <w:szCs w:val="21"/>
        </w:rPr>
        <w:t>访问年限</w:t>
      </w:r>
      <w:r w:rsidRPr="00B21640">
        <w:rPr>
          <w:rFonts w:eastAsia="楷体" w:cstheme="minorHAnsi"/>
          <w:szCs w:val="21"/>
        </w:rPr>
        <w:t>：</w:t>
      </w:r>
      <w:r w:rsidR="00E32140">
        <w:rPr>
          <w:rFonts w:eastAsia="楷体" w:cstheme="minorHAnsi" w:hint="eastAsia"/>
          <w:szCs w:val="21"/>
        </w:rPr>
        <w:t xml:space="preserve">  </w:t>
      </w:r>
      <w:r w:rsidR="00E32140" w:rsidRPr="00F65421"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>实时更新</w:t>
      </w:r>
    </w:p>
    <w:p w:rsidR="006C04DE" w:rsidRPr="00B21640" w:rsidRDefault="006C04DE" w:rsidP="00A45C9F">
      <w:pPr>
        <w:spacing w:line="276" w:lineRule="auto"/>
        <w:ind w:left="1265" w:hangingChars="600" w:hanging="1265"/>
        <w:rPr>
          <w:rFonts w:eastAsia="楷体" w:cstheme="minorHAnsi"/>
          <w:bCs/>
          <w:kern w:val="0"/>
          <w:szCs w:val="21"/>
        </w:rPr>
      </w:pPr>
      <w:r w:rsidRPr="00A45C9F">
        <w:rPr>
          <w:rFonts w:ascii="黑体" w:eastAsia="黑体" w:hAnsi="黑体" w:cstheme="minorHAnsi"/>
          <w:b/>
          <w:color w:val="0070C0"/>
          <w:szCs w:val="21"/>
        </w:rPr>
        <w:t>学科范围</w:t>
      </w:r>
      <w:r w:rsidRPr="00B21640">
        <w:rPr>
          <w:rFonts w:eastAsia="楷体" w:cstheme="minorHAnsi"/>
          <w:szCs w:val="21"/>
        </w:rPr>
        <w:t>：</w:t>
      </w:r>
      <w:r w:rsidR="00A45C9F">
        <w:rPr>
          <w:rFonts w:eastAsia="楷体" w:cstheme="minorHAnsi" w:hint="eastAsia"/>
          <w:szCs w:val="21"/>
        </w:rPr>
        <w:t xml:space="preserve">  </w:t>
      </w:r>
      <w:r w:rsidR="00CB33F5" w:rsidRPr="00F65421">
        <w:rPr>
          <w:rStyle w:val="SubtitleChar"/>
          <w:rFonts w:ascii="新宋体" w:eastAsia="新宋体" w:hAnsi="新宋体" w:cstheme="minorHAnsi" w:hint="eastAsia"/>
          <w:b w:val="0"/>
          <w:bCs w:val="0"/>
          <w:sz w:val="18"/>
          <w:szCs w:val="18"/>
        </w:rPr>
        <w:t>知识产权</w:t>
      </w:r>
    </w:p>
    <w:p w:rsidR="006C04DE" w:rsidRDefault="006C04DE" w:rsidP="00A45C9F">
      <w:pPr>
        <w:spacing w:line="276" w:lineRule="auto"/>
        <w:rPr>
          <w:rFonts w:eastAsia="楷体" w:cstheme="minorHAnsi"/>
          <w:bCs/>
          <w:kern w:val="0"/>
          <w:szCs w:val="21"/>
        </w:rPr>
      </w:pPr>
      <w:r w:rsidRPr="00A45C9F">
        <w:rPr>
          <w:rFonts w:ascii="黑体" w:eastAsia="黑体" w:hAnsi="黑体" w:cstheme="minorHAnsi"/>
          <w:b/>
          <w:color w:val="0070C0"/>
          <w:szCs w:val="21"/>
        </w:rPr>
        <w:t>语种</w:t>
      </w:r>
      <w:r w:rsidRPr="00B21640">
        <w:rPr>
          <w:rFonts w:eastAsia="楷体" w:cstheme="minorHAnsi"/>
          <w:bCs/>
          <w:kern w:val="0"/>
          <w:szCs w:val="21"/>
        </w:rPr>
        <w:t>：</w:t>
      </w:r>
      <w:r w:rsidR="00A45C9F">
        <w:rPr>
          <w:rFonts w:eastAsia="楷体" w:cstheme="minorHAnsi" w:hint="eastAsia"/>
          <w:bCs/>
          <w:kern w:val="0"/>
          <w:szCs w:val="21"/>
        </w:rPr>
        <w:t xml:space="preserve">      </w:t>
      </w:r>
      <w:r w:rsidRPr="00F65421">
        <w:rPr>
          <w:rStyle w:val="SubtitleChar"/>
          <w:rFonts w:ascii="新宋体" w:eastAsia="新宋体" w:hAnsi="新宋体" w:cstheme="minorHAnsi"/>
          <w:b w:val="0"/>
          <w:sz w:val="18"/>
          <w:szCs w:val="18"/>
        </w:rPr>
        <w:t>英语</w:t>
      </w:r>
    </w:p>
    <w:p w:rsidR="002D436E" w:rsidRDefault="00A45C9F" w:rsidP="00CB33F5">
      <w:pPr>
        <w:spacing w:line="276" w:lineRule="auto"/>
      </w:pPr>
      <w:r w:rsidRPr="00A45C9F">
        <w:rPr>
          <w:rFonts w:ascii="黑体" w:eastAsia="黑体" w:hAnsi="黑体" w:cstheme="minorHAnsi"/>
          <w:b/>
          <w:color w:val="0070C0"/>
          <w:szCs w:val="21"/>
        </w:rPr>
        <w:t>使用指南</w:t>
      </w:r>
      <w:r w:rsidRPr="00B21640">
        <w:rPr>
          <w:rFonts w:eastAsia="楷体" w:cstheme="minorHAnsi"/>
          <w:bCs/>
          <w:kern w:val="0"/>
          <w:szCs w:val="21"/>
        </w:rPr>
        <w:t>：</w:t>
      </w:r>
      <w:r>
        <w:rPr>
          <w:rFonts w:eastAsia="楷体" w:cstheme="minorHAnsi" w:hint="eastAsia"/>
          <w:bCs/>
          <w:kern w:val="0"/>
          <w:szCs w:val="21"/>
        </w:rPr>
        <w:t xml:space="preserve">  </w:t>
      </w:r>
      <w:hyperlink r:id="rId7" w:history="1">
        <w:r w:rsidR="002D436E" w:rsidRPr="00AB6EF0">
          <w:rPr>
            <w:rStyle w:val="Hyperlink"/>
          </w:rPr>
          <w:t>http://www.kluweriplaw.com/Content/static/help.html</w:t>
        </w:r>
      </w:hyperlink>
    </w:p>
    <w:p w:rsidR="00F65421" w:rsidRDefault="006C04DE" w:rsidP="00CB33F5">
      <w:pPr>
        <w:spacing w:line="276" w:lineRule="auto"/>
        <w:rPr>
          <w:rFonts w:eastAsia="楷体" w:cstheme="minorHAnsi"/>
          <w:bCs/>
          <w:kern w:val="0"/>
          <w:szCs w:val="21"/>
        </w:rPr>
      </w:pPr>
      <w:r w:rsidRPr="00A45C9F">
        <w:rPr>
          <w:rFonts w:ascii="黑体" w:eastAsia="黑体" w:hAnsi="黑体" w:cstheme="minorHAnsi"/>
          <w:b/>
          <w:color w:val="0070C0"/>
          <w:szCs w:val="21"/>
        </w:rPr>
        <w:t>简介</w:t>
      </w:r>
      <w:r w:rsidRPr="00B21640">
        <w:rPr>
          <w:rFonts w:eastAsia="楷体" w:cstheme="minorHAnsi"/>
          <w:bCs/>
          <w:kern w:val="0"/>
          <w:szCs w:val="21"/>
        </w:rPr>
        <w:t>：</w:t>
      </w:r>
      <w:r w:rsidR="00A45C9F">
        <w:rPr>
          <w:rFonts w:eastAsia="楷体" w:cstheme="minorHAnsi" w:hint="eastAsia"/>
          <w:bCs/>
          <w:kern w:val="0"/>
          <w:szCs w:val="21"/>
        </w:rPr>
        <w:t xml:space="preserve"> </w:t>
      </w:r>
    </w:p>
    <w:p w:rsidR="00F65421" w:rsidRDefault="00F65421" w:rsidP="00F65421">
      <w:pPr>
        <w:spacing w:line="360" w:lineRule="auto"/>
        <w:rPr>
          <w:rFonts w:ascii="新宋体" w:eastAsia="新宋体" w:hAnsi="新宋体"/>
          <w:bCs/>
          <w:sz w:val="18"/>
          <w:szCs w:val="18"/>
        </w:rPr>
      </w:pPr>
      <w:r w:rsidRPr="00F65421">
        <w:rPr>
          <w:rFonts w:ascii="新宋体" w:eastAsia="新宋体" w:hAnsi="新宋体" w:hint="eastAsia"/>
          <w:bCs/>
          <w:sz w:val="18"/>
          <w:szCs w:val="18"/>
        </w:rPr>
        <w:t>集成所有威科国际知识产权的出版物，是您制订知识产权战略、提高团队处理知识产权争议的能力、获取海外市场知识产权相关规定和实践的利器</w:t>
      </w:r>
      <w:r>
        <w:rPr>
          <w:rFonts w:ascii="新宋体" w:eastAsia="新宋体" w:hAnsi="新宋体" w:hint="eastAsia"/>
          <w:bCs/>
          <w:sz w:val="18"/>
          <w:szCs w:val="18"/>
        </w:rPr>
        <w:t>。</w:t>
      </w:r>
    </w:p>
    <w:p w:rsidR="00F65421" w:rsidRPr="00F65421" w:rsidRDefault="00F65421" w:rsidP="00F65421">
      <w:pPr>
        <w:spacing w:line="360" w:lineRule="auto"/>
        <w:rPr>
          <w:rFonts w:ascii="新宋体" w:eastAsia="新宋体" w:hAnsi="新宋体"/>
          <w:b/>
          <w:bCs/>
          <w:sz w:val="18"/>
          <w:szCs w:val="18"/>
        </w:rPr>
      </w:pPr>
      <w:r w:rsidRPr="00F65421">
        <w:rPr>
          <w:rFonts w:ascii="新宋体" w:eastAsia="新宋体" w:hAnsi="新宋体" w:hint="eastAsia"/>
          <w:b/>
          <w:bCs/>
          <w:sz w:val="18"/>
          <w:szCs w:val="18"/>
        </w:rPr>
        <w:t>内容包含：</w:t>
      </w:r>
    </w:p>
    <w:p w:rsidR="00350A2C" w:rsidRPr="00350A2C" w:rsidRDefault="00350A2C" w:rsidP="00350A2C">
      <w:pPr>
        <w:pStyle w:val="ListParagraph"/>
        <w:widowControl/>
        <w:numPr>
          <w:ilvl w:val="0"/>
          <w:numId w:val="6"/>
        </w:numPr>
        <w:spacing w:line="360" w:lineRule="auto"/>
        <w:ind w:firstLineChars="0"/>
        <w:jc w:val="left"/>
        <w:rPr>
          <w:rStyle w:val="SubtitleChar"/>
          <w:rFonts w:ascii="新宋体" w:eastAsia="新宋体" w:hAnsi="新宋体" w:cstheme="minorHAnsi"/>
          <w:b w:val="0"/>
          <w:sz w:val="18"/>
          <w:szCs w:val="18"/>
        </w:rPr>
      </w:pPr>
      <w:r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>知识产权</w:t>
      </w:r>
      <w:r w:rsidRPr="00350A2C"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>相关的流程</w:t>
      </w:r>
      <w:r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>、</w:t>
      </w:r>
      <w:r w:rsidRPr="00350A2C"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>法律规定</w:t>
      </w:r>
      <w:r>
        <w:rPr>
          <w:rStyle w:val="SubtitleChar"/>
          <w:rFonts w:ascii="新宋体" w:eastAsia="新宋体" w:hAnsi="新宋体" w:cstheme="minorHAnsi"/>
          <w:b w:val="0"/>
          <w:sz w:val="18"/>
          <w:szCs w:val="18"/>
        </w:rPr>
        <w:t>:</w:t>
      </w:r>
    </w:p>
    <w:p w:rsidR="00350A2C" w:rsidRDefault="00350A2C" w:rsidP="00350A2C">
      <w:pPr>
        <w:pStyle w:val="ListParagraph"/>
        <w:widowControl/>
        <w:spacing w:line="360" w:lineRule="auto"/>
        <w:ind w:left="720" w:firstLineChars="0" w:firstLine="0"/>
        <w:jc w:val="left"/>
        <w:rPr>
          <w:rStyle w:val="SubtitleChar"/>
          <w:rFonts w:ascii="新宋体" w:eastAsia="新宋体" w:hAnsi="新宋体" w:cstheme="minorHAnsi"/>
          <w:b w:val="0"/>
          <w:sz w:val="18"/>
          <w:szCs w:val="18"/>
        </w:rPr>
      </w:pPr>
      <w:r w:rsidRPr="00350A2C"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>提供200多个国家和地区的专利、商标和设计的注册申请程序和法律规定</w:t>
      </w:r>
      <w:r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>。</w:t>
      </w:r>
    </w:p>
    <w:p w:rsidR="00F65421" w:rsidRPr="00F65421" w:rsidRDefault="00F65421" w:rsidP="00F65421">
      <w:pPr>
        <w:pStyle w:val="ListParagraph"/>
        <w:widowControl/>
        <w:numPr>
          <w:ilvl w:val="0"/>
          <w:numId w:val="6"/>
        </w:numPr>
        <w:spacing w:line="360" w:lineRule="auto"/>
        <w:ind w:firstLineChars="0"/>
        <w:jc w:val="left"/>
        <w:rPr>
          <w:rStyle w:val="SubtitleChar"/>
          <w:rFonts w:ascii="新宋体" w:eastAsia="新宋体" w:hAnsi="新宋体" w:cstheme="minorHAnsi"/>
          <w:b w:val="0"/>
          <w:sz w:val="18"/>
          <w:szCs w:val="18"/>
        </w:rPr>
      </w:pPr>
      <w:r w:rsidRPr="00F65421"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>分析和解读</w:t>
      </w:r>
    </w:p>
    <w:p w:rsidR="00F65421" w:rsidRDefault="00F65421" w:rsidP="00F65421">
      <w:pPr>
        <w:pStyle w:val="ListParagraph"/>
        <w:widowControl/>
        <w:numPr>
          <w:ilvl w:val="1"/>
          <w:numId w:val="5"/>
        </w:numPr>
        <w:spacing w:line="360" w:lineRule="auto"/>
        <w:ind w:firstLineChars="0"/>
        <w:jc w:val="left"/>
        <w:rPr>
          <w:rStyle w:val="SubtitleChar"/>
          <w:rFonts w:ascii="新宋体" w:eastAsia="新宋体" w:hAnsi="新宋体" w:cstheme="minorHAnsi"/>
          <w:b w:val="0"/>
          <w:sz w:val="18"/>
          <w:szCs w:val="18"/>
        </w:rPr>
      </w:pPr>
      <w:r w:rsidRPr="00F65421"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>超过70种知识产权领域的图书、期刊和新闻资讯</w:t>
      </w:r>
      <w:r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>；</w:t>
      </w:r>
    </w:p>
    <w:p w:rsidR="00F65421" w:rsidRPr="00F65421" w:rsidRDefault="00F65421" w:rsidP="00F65421">
      <w:pPr>
        <w:pStyle w:val="ListParagraph"/>
        <w:widowControl/>
        <w:numPr>
          <w:ilvl w:val="1"/>
          <w:numId w:val="5"/>
        </w:numPr>
        <w:spacing w:line="360" w:lineRule="auto"/>
        <w:ind w:firstLineChars="0"/>
        <w:jc w:val="left"/>
        <w:rPr>
          <w:rStyle w:val="SubtitleChar"/>
          <w:rFonts w:ascii="新宋体" w:eastAsia="新宋体" w:hAnsi="新宋体" w:cstheme="minorHAnsi"/>
          <w:b w:val="0"/>
          <w:sz w:val="18"/>
          <w:szCs w:val="18"/>
        </w:rPr>
      </w:pPr>
      <w:r w:rsidRPr="00F65421"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>包含著名的“Brown Book</w:t>
      </w:r>
      <w:r w:rsidRPr="00F65421">
        <w:rPr>
          <w:rStyle w:val="SubtitleChar"/>
          <w:rFonts w:ascii="新宋体" w:eastAsia="新宋体" w:hAnsi="新宋体" w:cstheme="minorHAnsi"/>
          <w:b w:val="0"/>
          <w:sz w:val="18"/>
          <w:szCs w:val="18"/>
        </w:rPr>
        <w:t>”</w:t>
      </w:r>
      <w:r w:rsidRPr="00F65421"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>知识产权手册等，86年来这个权威的资料提供200多个国家和地区的专利、商标和设计的注册申请程序和法律规定</w:t>
      </w:r>
      <w:r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>；</w:t>
      </w:r>
    </w:p>
    <w:p w:rsidR="00F65421" w:rsidRDefault="00F65421" w:rsidP="00F65421">
      <w:pPr>
        <w:pStyle w:val="ListParagraph"/>
        <w:widowControl/>
        <w:numPr>
          <w:ilvl w:val="0"/>
          <w:numId w:val="6"/>
        </w:numPr>
        <w:spacing w:line="360" w:lineRule="auto"/>
        <w:ind w:firstLineChars="0"/>
        <w:jc w:val="left"/>
        <w:rPr>
          <w:rStyle w:val="SubtitleChar"/>
          <w:rFonts w:ascii="新宋体" w:eastAsia="新宋体" w:hAnsi="新宋体" w:cstheme="minorHAnsi"/>
          <w:b w:val="0"/>
          <w:sz w:val="18"/>
          <w:szCs w:val="18"/>
        </w:rPr>
      </w:pPr>
      <w:r w:rsidRPr="00F65421"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>判例法</w:t>
      </w:r>
    </w:p>
    <w:p w:rsidR="00F65421" w:rsidRDefault="00F65421" w:rsidP="00F65421">
      <w:pPr>
        <w:pStyle w:val="ListParagraph"/>
        <w:widowControl/>
        <w:numPr>
          <w:ilvl w:val="0"/>
          <w:numId w:val="7"/>
        </w:numPr>
        <w:spacing w:line="360" w:lineRule="auto"/>
        <w:ind w:firstLineChars="0"/>
        <w:jc w:val="left"/>
        <w:rPr>
          <w:rStyle w:val="SubtitleChar"/>
          <w:rFonts w:ascii="新宋体" w:eastAsia="新宋体" w:hAnsi="新宋体" w:cstheme="minorHAnsi"/>
          <w:b w:val="0"/>
          <w:sz w:val="18"/>
          <w:szCs w:val="18"/>
        </w:rPr>
      </w:pPr>
      <w:r w:rsidRPr="00F65421"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>欧盟和美国司法管辖区的近2000个关键的法律判决，用英语进行了报告和总结，并提供原语言的全文本</w:t>
      </w:r>
      <w:r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>；</w:t>
      </w:r>
    </w:p>
    <w:p w:rsidR="00F65421" w:rsidRDefault="00F65421" w:rsidP="00F65421">
      <w:pPr>
        <w:pStyle w:val="ListParagraph"/>
        <w:widowControl/>
        <w:numPr>
          <w:ilvl w:val="0"/>
          <w:numId w:val="7"/>
        </w:numPr>
        <w:spacing w:line="360" w:lineRule="auto"/>
        <w:ind w:firstLineChars="0"/>
        <w:jc w:val="left"/>
        <w:rPr>
          <w:rStyle w:val="SubtitleChar"/>
          <w:rFonts w:ascii="新宋体" w:eastAsia="新宋体" w:hAnsi="新宋体" w:cstheme="minorHAnsi"/>
          <w:b w:val="0"/>
          <w:sz w:val="18"/>
          <w:szCs w:val="18"/>
        </w:rPr>
      </w:pPr>
      <w:r w:rsidRPr="00F65421"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>支持检索欧洲专利局45000多个上诉裁决数据库</w:t>
      </w:r>
      <w:r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>；</w:t>
      </w:r>
    </w:p>
    <w:p w:rsidR="00F65421" w:rsidRPr="00F65421" w:rsidRDefault="00F65421" w:rsidP="00F65421">
      <w:pPr>
        <w:pStyle w:val="ListParagraph"/>
        <w:widowControl/>
        <w:numPr>
          <w:ilvl w:val="0"/>
          <w:numId w:val="6"/>
        </w:numPr>
        <w:spacing w:line="360" w:lineRule="auto"/>
        <w:ind w:firstLineChars="0"/>
        <w:jc w:val="left"/>
        <w:rPr>
          <w:rStyle w:val="SubtitleChar"/>
          <w:rFonts w:ascii="新宋体" w:eastAsia="新宋体" w:hAnsi="新宋体" w:cstheme="minorHAnsi"/>
          <w:b w:val="0"/>
          <w:sz w:val="18"/>
          <w:szCs w:val="18"/>
        </w:rPr>
      </w:pPr>
      <w:r w:rsidRPr="00F65421"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>智能工具</w:t>
      </w:r>
    </w:p>
    <w:p w:rsidR="00F65421" w:rsidRDefault="00F65421" w:rsidP="00F65421">
      <w:pPr>
        <w:pStyle w:val="ListParagraph"/>
        <w:spacing w:line="360" w:lineRule="auto"/>
        <w:ind w:left="720" w:firstLineChars="0" w:firstLine="0"/>
        <w:rPr>
          <w:rStyle w:val="SubtitleChar"/>
          <w:rFonts w:ascii="新宋体" w:eastAsia="新宋体" w:hAnsi="新宋体" w:cstheme="minorHAnsi"/>
          <w:b w:val="0"/>
          <w:sz w:val="18"/>
          <w:szCs w:val="18"/>
        </w:rPr>
      </w:pPr>
      <w:r w:rsidRPr="00F65421"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>提供9种智能工具，分别支持商标、著作权、专利等领域的各国别的比较，只需要鼠标点选你需要的领域和国别，就能呈现清晰的对比和答案</w:t>
      </w:r>
      <w:r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>。</w:t>
      </w:r>
    </w:p>
    <w:p w:rsidR="00F65421" w:rsidRPr="00F65421" w:rsidRDefault="00F65421" w:rsidP="00F65421">
      <w:pPr>
        <w:pStyle w:val="ListParagraph"/>
        <w:numPr>
          <w:ilvl w:val="0"/>
          <w:numId w:val="6"/>
        </w:numPr>
        <w:spacing w:line="360" w:lineRule="auto"/>
        <w:ind w:firstLineChars="0"/>
        <w:rPr>
          <w:rStyle w:val="SubtitleChar"/>
          <w:rFonts w:ascii="新宋体" w:eastAsia="新宋体" w:hAnsi="新宋体" w:cstheme="minorHAnsi"/>
          <w:b w:val="0"/>
          <w:sz w:val="18"/>
          <w:szCs w:val="18"/>
        </w:rPr>
      </w:pPr>
      <w:r w:rsidRPr="00F65421"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>新闻资讯</w:t>
      </w:r>
    </w:p>
    <w:p w:rsidR="00F65421" w:rsidRDefault="00F65421" w:rsidP="00F65421">
      <w:pPr>
        <w:pStyle w:val="ListParagraph"/>
        <w:widowControl/>
        <w:numPr>
          <w:ilvl w:val="0"/>
          <w:numId w:val="8"/>
        </w:numPr>
        <w:spacing w:line="360" w:lineRule="auto"/>
        <w:ind w:firstLineChars="0"/>
        <w:jc w:val="left"/>
        <w:rPr>
          <w:rStyle w:val="SubtitleChar"/>
          <w:rFonts w:ascii="新宋体" w:eastAsia="新宋体" w:hAnsi="新宋体" w:cstheme="minorHAnsi"/>
          <w:b w:val="0"/>
          <w:sz w:val="18"/>
          <w:szCs w:val="18"/>
        </w:rPr>
      </w:pPr>
      <w:r w:rsidRPr="00F65421"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>专家博客，分享知识产权领域的专家的真知灼见、更新发展趋势</w:t>
      </w:r>
      <w:r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>；</w:t>
      </w:r>
    </w:p>
    <w:p w:rsidR="00E32140" w:rsidRPr="00F65421" w:rsidRDefault="00F65421" w:rsidP="00F65421">
      <w:pPr>
        <w:pStyle w:val="ListParagraph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="新宋体" w:eastAsia="新宋体" w:hAnsi="新宋体" w:cstheme="minorHAnsi"/>
          <w:bCs/>
          <w:kern w:val="28"/>
          <w:sz w:val="18"/>
          <w:szCs w:val="18"/>
        </w:rPr>
      </w:pPr>
      <w:r w:rsidRPr="00F65421"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>新闻推送，实时更新法律、法规、关键判决的发展和变化</w:t>
      </w:r>
      <w:r>
        <w:rPr>
          <w:rStyle w:val="SubtitleChar"/>
          <w:rFonts w:ascii="新宋体" w:eastAsia="新宋体" w:hAnsi="新宋体" w:cstheme="minorHAnsi" w:hint="eastAsia"/>
          <w:b w:val="0"/>
          <w:sz w:val="18"/>
          <w:szCs w:val="18"/>
        </w:rPr>
        <w:t>。</w:t>
      </w:r>
    </w:p>
    <w:sectPr w:rsidR="00E32140" w:rsidRPr="00F65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71CE5"/>
    <w:multiLevelType w:val="hybridMultilevel"/>
    <w:tmpl w:val="4BDE1174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84A02AC"/>
    <w:multiLevelType w:val="hybridMultilevel"/>
    <w:tmpl w:val="43D6D0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0F12FD7"/>
    <w:multiLevelType w:val="hybridMultilevel"/>
    <w:tmpl w:val="13A880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A05745"/>
    <w:multiLevelType w:val="hybridMultilevel"/>
    <w:tmpl w:val="E53E3AC8"/>
    <w:lvl w:ilvl="0" w:tplc="54C47C04">
      <w:start w:val="201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DEF5F85"/>
    <w:multiLevelType w:val="hybridMultilevel"/>
    <w:tmpl w:val="32AEA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812FE"/>
    <w:multiLevelType w:val="hybridMultilevel"/>
    <w:tmpl w:val="78A6F0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9930618"/>
    <w:multiLevelType w:val="hybridMultilevel"/>
    <w:tmpl w:val="586C7E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61F4F15"/>
    <w:multiLevelType w:val="hybridMultilevel"/>
    <w:tmpl w:val="333292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DE"/>
    <w:rsid w:val="0004422F"/>
    <w:rsid w:val="000B091F"/>
    <w:rsid w:val="000E211C"/>
    <w:rsid w:val="001F0E49"/>
    <w:rsid w:val="00297A54"/>
    <w:rsid w:val="002D436E"/>
    <w:rsid w:val="00350A2C"/>
    <w:rsid w:val="003D2E94"/>
    <w:rsid w:val="00422966"/>
    <w:rsid w:val="00500353"/>
    <w:rsid w:val="0054029C"/>
    <w:rsid w:val="006C04DE"/>
    <w:rsid w:val="0070373E"/>
    <w:rsid w:val="007144C8"/>
    <w:rsid w:val="007F2688"/>
    <w:rsid w:val="0083497D"/>
    <w:rsid w:val="00876A0F"/>
    <w:rsid w:val="008F1750"/>
    <w:rsid w:val="009F2F36"/>
    <w:rsid w:val="00A45C9F"/>
    <w:rsid w:val="00A960AE"/>
    <w:rsid w:val="00B10545"/>
    <w:rsid w:val="00B21640"/>
    <w:rsid w:val="00B220B6"/>
    <w:rsid w:val="00BA107B"/>
    <w:rsid w:val="00CA5E1E"/>
    <w:rsid w:val="00CB33F5"/>
    <w:rsid w:val="00CD27EB"/>
    <w:rsid w:val="00D51803"/>
    <w:rsid w:val="00D61623"/>
    <w:rsid w:val="00D86279"/>
    <w:rsid w:val="00DF2A3E"/>
    <w:rsid w:val="00E32140"/>
    <w:rsid w:val="00EB3027"/>
    <w:rsid w:val="00F6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62B30B-5995-4367-90D3-605D2B72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4D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6C04D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C04DE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C04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04D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33F5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3F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3F5"/>
    <w:rPr>
      <w:sz w:val="16"/>
      <w:szCs w:val="16"/>
    </w:rPr>
  </w:style>
  <w:style w:type="paragraph" w:customStyle="1" w:styleId="NoSpacing1">
    <w:name w:val="No Spacing1"/>
    <w:uiPriority w:val="1"/>
    <w:qFormat/>
    <w:rsid w:val="00B1054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6893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8612">
          <w:marLeft w:val="36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luweriplaw.com/Content/static/help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luwerIPLaw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0229-689A-457D-B942-640955C9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Wolters Kluwer Asia Pacific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Li</dc:creator>
  <cp:lastModifiedBy>a</cp:lastModifiedBy>
  <cp:revision>14</cp:revision>
  <dcterms:created xsi:type="dcterms:W3CDTF">2012-03-07T03:33:00Z</dcterms:created>
  <dcterms:modified xsi:type="dcterms:W3CDTF">2017-03-29T13:45:00Z</dcterms:modified>
</cp:coreProperties>
</file>