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DE" w:rsidRPr="00B21640" w:rsidRDefault="006C04DE" w:rsidP="00A45C9F">
      <w:pPr>
        <w:widowControl/>
        <w:spacing w:line="276" w:lineRule="auto"/>
        <w:jc w:val="left"/>
        <w:rPr>
          <w:rStyle w:val="SubtitleChar"/>
          <w:rFonts w:asciiTheme="minorHAnsi" w:eastAsia="楷体" w:hAnsiTheme="minorHAnsi" w:cstheme="minorHAnsi"/>
          <w:b w:val="0"/>
          <w:sz w:val="21"/>
          <w:szCs w:val="21"/>
        </w:rPr>
      </w:pPr>
      <w:r w:rsidRPr="00A45C9F">
        <w:rPr>
          <w:rFonts w:ascii="黑体" w:eastAsia="黑体" w:hAnsi="黑体" w:cstheme="minorHAnsi"/>
          <w:b/>
          <w:color w:val="0070C0"/>
          <w:szCs w:val="21"/>
        </w:rPr>
        <w:t>数据库名称</w:t>
      </w:r>
      <w:r w:rsidRPr="00A45C9F">
        <w:rPr>
          <w:rFonts w:ascii="黑体" w:eastAsia="黑体" w:hAnsi="黑体" w:cstheme="minorHAnsi"/>
          <w:b/>
          <w:szCs w:val="21"/>
        </w:rPr>
        <w:t>：</w:t>
      </w:r>
      <w:bookmarkStart w:id="0" w:name="OLE_LINK3"/>
      <w:bookmarkStart w:id="1" w:name="OLE_LINK4"/>
      <w:bookmarkStart w:id="2" w:name="OLE_LINK1"/>
      <w:bookmarkStart w:id="3" w:name="OLE_LINK2"/>
      <w:r w:rsidRPr="00EB2785">
        <w:rPr>
          <w:rFonts w:ascii="新宋体" w:eastAsia="新宋体" w:hAnsi="新宋体"/>
          <w:sz w:val="18"/>
          <w:szCs w:val="18"/>
        </w:rPr>
        <w:t>威科</w:t>
      </w:r>
      <w:r w:rsidR="0089573A" w:rsidRPr="00EB2785">
        <w:rPr>
          <w:rFonts w:ascii="新宋体" w:eastAsia="新宋体" w:hAnsi="新宋体" w:hint="eastAsia"/>
          <w:sz w:val="18"/>
          <w:szCs w:val="18"/>
        </w:rPr>
        <w:t>国际商事</w:t>
      </w:r>
      <w:r w:rsidR="005E4CB7" w:rsidRPr="00EB2785">
        <w:rPr>
          <w:rFonts w:ascii="新宋体" w:eastAsia="新宋体" w:hAnsi="新宋体" w:hint="eastAsia"/>
          <w:sz w:val="18"/>
          <w:szCs w:val="18"/>
        </w:rPr>
        <w:t>仲裁在线</w:t>
      </w:r>
      <w:r w:rsidR="003B6A0E" w:rsidRPr="00EB2785">
        <w:rPr>
          <w:rFonts w:ascii="新宋体" w:eastAsia="新宋体" w:hAnsi="新宋体" w:hint="eastAsia"/>
          <w:sz w:val="18"/>
          <w:szCs w:val="18"/>
        </w:rPr>
        <w:t xml:space="preserve"> </w:t>
      </w:r>
      <w:r w:rsidR="003B6A0E" w:rsidRPr="00EB2785">
        <w:rPr>
          <w:rFonts w:ascii="新宋体" w:eastAsia="新宋体" w:hAnsi="新宋体"/>
          <w:sz w:val="18"/>
          <w:szCs w:val="18"/>
        </w:rPr>
        <w:t xml:space="preserve">Kluwer </w:t>
      </w:r>
      <w:r w:rsidR="003B6A0E" w:rsidRPr="00EB2785">
        <w:rPr>
          <w:rFonts w:ascii="新宋体" w:eastAsia="新宋体" w:hAnsi="新宋体" w:hint="eastAsia"/>
          <w:sz w:val="18"/>
          <w:szCs w:val="18"/>
        </w:rPr>
        <w:t>Arbitration</w:t>
      </w:r>
      <w:bookmarkEnd w:id="0"/>
      <w:bookmarkEnd w:id="1"/>
    </w:p>
    <w:p w:rsidR="00DF2A3E" w:rsidRPr="00B21640" w:rsidRDefault="006C04DE" w:rsidP="00A45C9F">
      <w:pPr>
        <w:spacing w:line="276" w:lineRule="auto"/>
        <w:rPr>
          <w:rFonts w:eastAsia="楷体" w:cstheme="minorHAnsi"/>
          <w:szCs w:val="21"/>
        </w:rPr>
      </w:pPr>
      <w:r w:rsidRPr="00A45C9F">
        <w:rPr>
          <w:rFonts w:ascii="黑体" w:eastAsia="黑体" w:hAnsi="黑体" w:cstheme="minorHAnsi"/>
          <w:b/>
          <w:color w:val="0070C0"/>
          <w:szCs w:val="21"/>
        </w:rPr>
        <w:t>数据库地址</w:t>
      </w:r>
      <w:r w:rsidRPr="00B21640">
        <w:rPr>
          <w:rFonts w:eastAsia="楷体" w:cstheme="minorHAnsi"/>
          <w:szCs w:val="21"/>
        </w:rPr>
        <w:t>：</w:t>
      </w:r>
      <w:hyperlink r:id="rId5" w:history="1">
        <w:r w:rsidR="005E4CB7" w:rsidRPr="006C09EE">
          <w:rPr>
            <w:rStyle w:val="Hyperlink"/>
            <w:rFonts w:eastAsia="楷体" w:cstheme="minorHAnsi" w:hint="eastAsia"/>
            <w:szCs w:val="21"/>
          </w:rPr>
          <w:t>www.kl</w:t>
        </w:r>
        <w:r w:rsidR="005E4CB7" w:rsidRPr="006C09EE">
          <w:rPr>
            <w:rStyle w:val="Hyperlink"/>
            <w:rFonts w:eastAsia="楷体" w:cstheme="minorHAnsi"/>
            <w:szCs w:val="21"/>
          </w:rPr>
          <w:t>uwer</w:t>
        </w:r>
        <w:r w:rsidR="005E4CB7" w:rsidRPr="006C09EE">
          <w:rPr>
            <w:rStyle w:val="Hyperlink"/>
            <w:rFonts w:eastAsia="楷体" w:cstheme="minorHAnsi" w:hint="eastAsia"/>
            <w:szCs w:val="21"/>
          </w:rPr>
          <w:t>Arbitration.com</w:t>
        </w:r>
      </w:hyperlink>
      <w:bookmarkEnd w:id="2"/>
      <w:bookmarkEnd w:id="3"/>
      <w:r w:rsidRPr="00B21640">
        <w:rPr>
          <w:rFonts w:eastAsia="楷体" w:cstheme="minorHAnsi"/>
          <w:szCs w:val="21"/>
        </w:rPr>
        <w:t xml:space="preserve"> </w:t>
      </w:r>
    </w:p>
    <w:p w:rsidR="006C04DE" w:rsidRDefault="006C04DE" w:rsidP="00A45C9F">
      <w:pPr>
        <w:spacing w:line="276" w:lineRule="auto"/>
        <w:rPr>
          <w:rFonts w:ascii="新宋体" w:eastAsia="新宋体" w:hAnsi="新宋体"/>
          <w:sz w:val="18"/>
          <w:szCs w:val="18"/>
        </w:rPr>
      </w:pPr>
      <w:r w:rsidRPr="00A45C9F">
        <w:rPr>
          <w:rFonts w:ascii="黑体" w:eastAsia="黑体" w:hAnsi="黑体" w:cstheme="minorHAnsi"/>
          <w:b/>
          <w:color w:val="0070C0"/>
          <w:szCs w:val="21"/>
        </w:rPr>
        <w:t>数据库类型</w:t>
      </w:r>
      <w:r w:rsidR="005E4CB7">
        <w:rPr>
          <w:rFonts w:eastAsia="楷体" w:cstheme="minorHAnsi"/>
          <w:szCs w:val="21"/>
        </w:rPr>
        <w:t>：</w:t>
      </w:r>
      <w:bookmarkStart w:id="4" w:name="OLE_LINK5"/>
      <w:bookmarkStart w:id="5" w:name="OLE_LINK6"/>
      <w:r w:rsidR="003B6A0E" w:rsidRPr="00EB2785">
        <w:rPr>
          <w:rFonts w:ascii="新宋体" w:eastAsia="新宋体" w:hAnsi="新宋体" w:hint="eastAsia"/>
          <w:sz w:val="18"/>
          <w:szCs w:val="18"/>
        </w:rPr>
        <w:t>仲裁条约、立法、法规、判决裁决案例</w:t>
      </w:r>
      <w:r w:rsidR="005E4CB7" w:rsidRPr="00EB2785">
        <w:rPr>
          <w:rFonts w:ascii="新宋体" w:eastAsia="新宋体" w:hAnsi="新宋体" w:hint="eastAsia"/>
          <w:sz w:val="18"/>
          <w:szCs w:val="18"/>
        </w:rPr>
        <w:t>、</w:t>
      </w:r>
      <w:r w:rsidR="003B6A0E" w:rsidRPr="00EB2785">
        <w:rPr>
          <w:rFonts w:ascii="新宋体" w:eastAsia="新宋体" w:hAnsi="新宋体" w:hint="eastAsia"/>
          <w:sz w:val="18"/>
          <w:szCs w:val="18"/>
        </w:rPr>
        <w:t>评论、博客</w:t>
      </w:r>
      <w:r w:rsidR="00D85F2B" w:rsidRPr="00EB2785">
        <w:rPr>
          <w:rFonts w:ascii="新宋体" w:eastAsia="新宋体" w:hAnsi="新宋体" w:hint="eastAsia"/>
          <w:sz w:val="18"/>
          <w:szCs w:val="18"/>
        </w:rPr>
        <w:t>、</w:t>
      </w:r>
      <w:r w:rsidR="003B6A0E" w:rsidRPr="00EB2785">
        <w:rPr>
          <w:rFonts w:ascii="新宋体" w:eastAsia="新宋体" w:hAnsi="新宋体" w:hint="eastAsia"/>
          <w:sz w:val="18"/>
          <w:szCs w:val="18"/>
        </w:rPr>
        <w:t>全文期刊</w:t>
      </w:r>
      <w:r w:rsidR="00D85F2B" w:rsidRPr="00EB2785">
        <w:rPr>
          <w:rFonts w:ascii="新宋体" w:eastAsia="新宋体" w:hAnsi="新宋体" w:hint="eastAsia"/>
          <w:sz w:val="18"/>
          <w:szCs w:val="18"/>
        </w:rPr>
        <w:t>及电子书</w:t>
      </w:r>
      <w:r w:rsidR="003B6A0E" w:rsidRPr="00EB2785">
        <w:rPr>
          <w:rFonts w:ascii="新宋体" w:eastAsia="新宋体" w:hAnsi="新宋体" w:hint="eastAsia"/>
          <w:sz w:val="18"/>
          <w:szCs w:val="18"/>
        </w:rPr>
        <w:t>等</w:t>
      </w:r>
      <w:bookmarkEnd w:id="4"/>
      <w:bookmarkEnd w:id="5"/>
    </w:p>
    <w:p w:rsidR="00DD1684" w:rsidRPr="00DD1684" w:rsidRDefault="00DD1684" w:rsidP="00DD1684">
      <w:pPr>
        <w:pStyle w:val="NoSpacing1"/>
        <w:rPr>
          <w:rFonts w:hint="eastAsia"/>
        </w:rPr>
      </w:pPr>
      <w:r>
        <w:rPr>
          <w:rFonts w:ascii="黑体" w:eastAsia="黑体" w:hAnsi="黑体" w:hint="eastAsia"/>
          <w:b/>
          <w:color w:val="0070C0"/>
        </w:rPr>
        <w:t>试用期限：</w:t>
      </w:r>
      <w:r>
        <w:rPr>
          <w:rFonts w:ascii="楷体" w:eastAsia="楷体" w:hAnsi="楷体" w:hint="eastAsia"/>
        </w:rPr>
        <w:t xml:space="preserve"> 2017年3月30日-2017年5月29日</w:t>
      </w:r>
      <w:bookmarkStart w:id="6" w:name="_GoBack"/>
      <w:bookmarkEnd w:id="6"/>
    </w:p>
    <w:p w:rsidR="006C04DE" w:rsidRPr="00B21640" w:rsidRDefault="006C04DE" w:rsidP="00A45C9F">
      <w:pPr>
        <w:spacing w:line="276" w:lineRule="auto"/>
        <w:rPr>
          <w:rFonts w:eastAsia="楷体" w:cstheme="minorHAnsi"/>
          <w:szCs w:val="21"/>
        </w:rPr>
      </w:pPr>
      <w:r w:rsidRPr="00A45C9F">
        <w:rPr>
          <w:rFonts w:ascii="黑体" w:eastAsia="黑体" w:hAnsi="黑体" w:cstheme="minorHAnsi"/>
          <w:b/>
          <w:color w:val="0070C0"/>
          <w:szCs w:val="21"/>
        </w:rPr>
        <w:t>访问年限</w:t>
      </w:r>
      <w:r w:rsidRPr="00B21640">
        <w:rPr>
          <w:rFonts w:eastAsia="楷体" w:cstheme="minorHAnsi"/>
          <w:szCs w:val="21"/>
        </w:rPr>
        <w:t>：</w:t>
      </w:r>
      <w:r w:rsidR="00E32140">
        <w:rPr>
          <w:rFonts w:eastAsia="楷体" w:cstheme="minorHAnsi" w:hint="eastAsia"/>
          <w:szCs w:val="21"/>
        </w:rPr>
        <w:t xml:space="preserve">  </w:t>
      </w:r>
      <w:r w:rsidR="00E32140" w:rsidRPr="00EB2785">
        <w:rPr>
          <w:rFonts w:ascii="新宋体" w:eastAsia="新宋体" w:hAnsi="新宋体" w:hint="eastAsia"/>
          <w:sz w:val="18"/>
          <w:szCs w:val="18"/>
        </w:rPr>
        <w:t>实时更新</w:t>
      </w:r>
    </w:p>
    <w:p w:rsidR="006C04DE" w:rsidRPr="00B21640" w:rsidRDefault="006C04DE" w:rsidP="00A45C9F">
      <w:pPr>
        <w:spacing w:line="276" w:lineRule="auto"/>
        <w:ind w:left="1265" w:hangingChars="600" w:hanging="1265"/>
        <w:rPr>
          <w:rFonts w:eastAsia="楷体" w:cstheme="minorHAnsi"/>
          <w:bCs/>
          <w:kern w:val="0"/>
          <w:szCs w:val="21"/>
        </w:rPr>
      </w:pPr>
      <w:r w:rsidRPr="00A45C9F">
        <w:rPr>
          <w:rFonts w:ascii="黑体" w:eastAsia="黑体" w:hAnsi="黑体" w:cstheme="minorHAnsi"/>
          <w:b/>
          <w:color w:val="0070C0"/>
          <w:szCs w:val="21"/>
        </w:rPr>
        <w:t>学科范围</w:t>
      </w:r>
      <w:r w:rsidRPr="00B21640">
        <w:rPr>
          <w:rFonts w:eastAsia="楷体" w:cstheme="minorHAnsi"/>
          <w:szCs w:val="21"/>
        </w:rPr>
        <w:t>：</w:t>
      </w:r>
      <w:r w:rsidR="00A45C9F">
        <w:rPr>
          <w:rFonts w:eastAsia="楷体" w:cstheme="minorHAnsi" w:hint="eastAsia"/>
          <w:szCs w:val="21"/>
        </w:rPr>
        <w:t xml:space="preserve">  </w:t>
      </w:r>
      <w:r w:rsidR="003B6A0E" w:rsidRPr="00EB2785">
        <w:rPr>
          <w:rFonts w:ascii="新宋体" w:eastAsia="新宋体" w:hAnsi="新宋体" w:hint="eastAsia"/>
          <w:sz w:val="18"/>
          <w:szCs w:val="18"/>
        </w:rPr>
        <w:t>商业仲裁</w:t>
      </w:r>
    </w:p>
    <w:p w:rsidR="006C04DE" w:rsidRDefault="006C04DE" w:rsidP="00A45C9F">
      <w:pPr>
        <w:spacing w:line="276" w:lineRule="auto"/>
        <w:rPr>
          <w:rFonts w:eastAsia="楷体" w:cstheme="minorHAnsi"/>
          <w:bCs/>
          <w:kern w:val="0"/>
          <w:szCs w:val="21"/>
        </w:rPr>
      </w:pPr>
      <w:r w:rsidRPr="00A45C9F">
        <w:rPr>
          <w:rFonts w:ascii="黑体" w:eastAsia="黑体" w:hAnsi="黑体" w:cstheme="minorHAnsi"/>
          <w:b/>
          <w:color w:val="0070C0"/>
          <w:szCs w:val="21"/>
        </w:rPr>
        <w:t>语种</w:t>
      </w:r>
      <w:r w:rsidRPr="00B21640">
        <w:rPr>
          <w:rFonts w:eastAsia="楷体" w:cstheme="minorHAnsi"/>
          <w:bCs/>
          <w:kern w:val="0"/>
          <w:szCs w:val="21"/>
        </w:rPr>
        <w:t>：</w:t>
      </w:r>
      <w:r w:rsidR="00A45C9F">
        <w:rPr>
          <w:rFonts w:eastAsia="楷体" w:cstheme="minorHAnsi" w:hint="eastAsia"/>
          <w:bCs/>
          <w:kern w:val="0"/>
          <w:szCs w:val="21"/>
        </w:rPr>
        <w:t xml:space="preserve">      </w:t>
      </w:r>
      <w:r w:rsidRPr="00EB2785">
        <w:rPr>
          <w:rFonts w:ascii="新宋体" w:eastAsia="新宋体" w:hAnsi="新宋体"/>
          <w:sz w:val="18"/>
          <w:szCs w:val="18"/>
        </w:rPr>
        <w:t>英语</w:t>
      </w:r>
    </w:p>
    <w:p w:rsidR="00A45C9F" w:rsidRPr="00A45C9F" w:rsidRDefault="00A45C9F" w:rsidP="00A45C9F">
      <w:pPr>
        <w:spacing w:line="276" w:lineRule="auto"/>
        <w:rPr>
          <w:rFonts w:eastAsia="楷体" w:cstheme="minorHAnsi"/>
          <w:bCs/>
          <w:kern w:val="0"/>
          <w:szCs w:val="21"/>
        </w:rPr>
      </w:pPr>
      <w:r w:rsidRPr="00A45C9F">
        <w:rPr>
          <w:rFonts w:ascii="黑体" w:eastAsia="黑体" w:hAnsi="黑体" w:cstheme="minorHAnsi"/>
          <w:b/>
          <w:color w:val="0070C0"/>
          <w:szCs w:val="21"/>
        </w:rPr>
        <w:t>使用指南</w:t>
      </w:r>
      <w:r w:rsidRPr="00B21640">
        <w:rPr>
          <w:rFonts w:eastAsia="楷体" w:cstheme="minorHAnsi"/>
          <w:bCs/>
          <w:kern w:val="0"/>
          <w:szCs w:val="21"/>
        </w:rPr>
        <w:t>：</w:t>
      </w:r>
      <w:r>
        <w:rPr>
          <w:rFonts w:eastAsia="楷体" w:cstheme="minorHAnsi" w:hint="eastAsia"/>
          <w:bCs/>
          <w:kern w:val="0"/>
          <w:szCs w:val="21"/>
        </w:rPr>
        <w:t xml:space="preserve"> </w:t>
      </w:r>
      <w:r w:rsidR="005E4CB7">
        <w:rPr>
          <w:rFonts w:eastAsia="楷体" w:cstheme="minorHAnsi" w:hint="eastAsia"/>
          <w:bCs/>
          <w:kern w:val="0"/>
          <w:szCs w:val="21"/>
        </w:rPr>
        <w:t xml:space="preserve"> </w:t>
      </w:r>
      <w:r w:rsidRPr="00B21640">
        <w:rPr>
          <w:rFonts w:eastAsia="楷体" w:cstheme="minorHAnsi"/>
          <w:bCs/>
          <w:kern w:val="0"/>
          <w:szCs w:val="21"/>
        </w:rPr>
        <w:t xml:space="preserve"> </w:t>
      </w:r>
      <w:hyperlink r:id="rId6" w:history="1">
        <w:r w:rsidR="003B6A0E" w:rsidRPr="006C09EE">
          <w:rPr>
            <w:rStyle w:val="Hyperlink"/>
            <w:rFonts w:eastAsia="楷体" w:cstheme="minorHAnsi"/>
            <w:bCs/>
            <w:kern w:val="0"/>
            <w:szCs w:val="21"/>
          </w:rPr>
          <w:t>http://www.kluwerarbitration.com/static/help.html</w:t>
        </w:r>
      </w:hyperlink>
      <w:r w:rsidR="003B6A0E">
        <w:rPr>
          <w:rFonts w:eastAsia="楷体" w:cstheme="minorHAnsi" w:hint="eastAsia"/>
          <w:bCs/>
          <w:kern w:val="0"/>
          <w:szCs w:val="21"/>
        </w:rPr>
        <w:t xml:space="preserve"> </w:t>
      </w:r>
    </w:p>
    <w:p w:rsidR="00E32140" w:rsidRDefault="006C04DE" w:rsidP="00E32140">
      <w:pPr>
        <w:autoSpaceDE w:val="0"/>
        <w:autoSpaceDN w:val="0"/>
        <w:adjustRightInd w:val="0"/>
        <w:jc w:val="left"/>
        <w:rPr>
          <w:rFonts w:eastAsia="楷体" w:cstheme="minorHAnsi"/>
          <w:bCs/>
          <w:kern w:val="0"/>
          <w:szCs w:val="21"/>
        </w:rPr>
      </w:pPr>
      <w:r w:rsidRPr="00A45C9F">
        <w:rPr>
          <w:rFonts w:ascii="黑体" w:eastAsia="黑体" w:hAnsi="黑体" w:cstheme="minorHAnsi"/>
          <w:b/>
          <w:color w:val="0070C0"/>
          <w:szCs w:val="21"/>
        </w:rPr>
        <w:t>简介</w:t>
      </w:r>
      <w:r w:rsidRPr="00B21640">
        <w:rPr>
          <w:rFonts w:eastAsia="楷体" w:cstheme="minorHAnsi"/>
          <w:bCs/>
          <w:kern w:val="0"/>
          <w:szCs w:val="21"/>
        </w:rPr>
        <w:t>：</w:t>
      </w:r>
      <w:r w:rsidR="00A45C9F">
        <w:rPr>
          <w:rFonts w:eastAsia="楷体" w:cstheme="minorHAnsi" w:hint="eastAsia"/>
          <w:bCs/>
          <w:kern w:val="0"/>
          <w:szCs w:val="21"/>
        </w:rPr>
        <w:t xml:space="preserve">      </w:t>
      </w:r>
    </w:p>
    <w:p w:rsidR="005E4CB7" w:rsidRPr="003665F5" w:rsidRDefault="005E4CB7" w:rsidP="00EB2785">
      <w:pPr>
        <w:spacing w:line="360" w:lineRule="auto"/>
        <w:jc w:val="left"/>
        <w:rPr>
          <w:rFonts w:ascii="新宋体" w:eastAsia="新宋体" w:hAnsi="新宋体"/>
          <w:bCs/>
          <w:sz w:val="18"/>
          <w:szCs w:val="18"/>
        </w:rPr>
      </w:pPr>
      <w:r w:rsidRPr="003665F5">
        <w:rPr>
          <w:rFonts w:ascii="新宋体" w:eastAsia="新宋体" w:hAnsi="新宋体" w:hint="eastAsia"/>
          <w:bCs/>
          <w:sz w:val="18"/>
          <w:szCs w:val="18"/>
        </w:rPr>
        <w:t>由</w:t>
      </w:r>
      <w:bookmarkStart w:id="7" w:name="OLE_LINK7"/>
      <w:bookmarkStart w:id="8" w:name="OLE_LINK8"/>
      <w:r w:rsidRPr="003665F5">
        <w:rPr>
          <w:rFonts w:ascii="新宋体" w:eastAsia="新宋体" w:hAnsi="新宋体" w:hint="eastAsia"/>
          <w:bCs/>
          <w:sz w:val="18"/>
          <w:szCs w:val="18"/>
        </w:rPr>
        <w:t>国际商事仲裁委员会、常设仲裁法庭、国际仲裁学会</w:t>
      </w:r>
      <w:bookmarkEnd w:id="7"/>
      <w:bookmarkEnd w:id="8"/>
      <w:r w:rsidRPr="003665F5">
        <w:rPr>
          <w:rFonts w:ascii="新宋体" w:eastAsia="新宋体" w:hAnsi="新宋体" w:hint="eastAsia"/>
          <w:bCs/>
          <w:sz w:val="18"/>
          <w:szCs w:val="18"/>
        </w:rPr>
        <w:t>以及Kluwer Law International机构联合推出，为您提供超过与仲裁相关的最必需资料</w:t>
      </w:r>
      <w:r w:rsidR="003665F5">
        <w:rPr>
          <w:rFonts w:ascii="新宋体" w:eastAsia="新宋体" w:hAnsi="新宋体" w:hint="eastAsia"/>
          <w:bCs/>
          <w:sz w:val="18"/>
          <w:szCs w:val="18"/>
        </w:rPr>
        <w:t>。</w:t>
      </w:r>
    </w:p>
    <w:p w:rsidR="005E4CB7" w:rsidRPr="003665F5" w:rsidRDefault="005E4CB7" w:rsidP="00EB2785">
      <w:pPr>
        <w:spacing w:line="360" w:lineRule="auto"/>
        <w:jc w:val="left"/>
        <w:rPr>
          <w:rFonts w:ascii="新宋体" w:eastAsia="新宋体" w:hAnsi="新宋体"/>
          <w:b/>
          <w:bCs/>
          <w:sz w:val="18"/>
          <w:szCs w:val="18"/>
        </w:rPr>
      </w:pPr>
      <w:r w:rsidRPr="003665F5">
        <w:rPr>
          <w:rFonts w:ascii="新宋体" w:eastAsia="新宋体" w:hAnsi="新宋体" w:hint="eastAsia"/>
          <w:b/>
          <w:bCs/>
          <w:sz w:val="18"/>
          <w:szCs w:val="18"/>
        </w:rPr>
        <w:t>内容包括：</w:t>
      </w:r>
    </w:p>
    <w:p w:rsidR="002F5838" w:rsidRPr="003665F5" w:rsidRDefault="002F5838" w:rsidP="00EB2785">
      <w:pPr>
        <w:pStyle w:val="ListParagraph"/>
        <w:numPr>
          <w:ilvl w:val="0"/>
          <w:numId w:val="4"/>
        </w:numPr>
        <w:spacing w:line="360" w:lineRule="auto"/>
        <w:ind w:firstLineChars="0"/>
        <w:jc w:val="left"/>
        <w:rPr>
          <w:rFonts w:ascii="新宋体" w:eastAsia="新宋体" w:hAnsi="新宋体"/>
          <w:b/>
          <w:bCs/>
          <w:sz w:val="18"/>
          <w:szCs w:val="18"/>
        </w:rPr>
      </w:pPr>
      <w:r w:rsidRPr="003665F5">
        <w:rPr>
          <w:rFonts w:ascii="新宋体" w:eastAsia="新宋体" w:hAnsi="新宋体" w:hint="eastAsia"/>
          <w:b/>
          <w:bCs/>
          <w:sz w:val="18"/>
          <w:szCs w:val="18"/>
        </w:rPr>
        <w:t>分析和解读</w:t>
      </w:r>
    </w:p>
    <w:p w:rsidR="003665F5" w:rsidRDefault="002F5838" w:rsidP="00EB2785">
      <w:pPr>
        <w:pStyle w:val="ListParagraph"/>
        <w:numPr>
          <w:ilvl w:val="0"/>
          <w:numId w:val="5"/>
        </w:numPr>
        <w:spacing w:line="360" w:lineRule="auto"/>
        <w:ind w:firstLineChars="0"/>
        <w:jc w:val="left"/>
        <w:rPr>
          <w:rFonts w:ascii="新宋体" w:eastAsia="新宋体" w:hAnsi="新宋体"/>
          <w:bCs/>
          <w:sz w:val="18"/>
          <w:szCs w:val="18"/>
        </w:rPr>
      </w:pPr>
      <w:r w:rsidRPr="003665F5">
        <w:rPr>
          <w:rFonts w:ascii="新宋体" w:eastAsia="新宋体" w:hAnsi="新宋体" w:hint="eastAsia"/>
          <w:bCs/>
          <w:sz w:val="18"/>
          <w:szCs w:val="18"/>
        </w:rPr>
        <w:t>有关仲裁领域的权威出版物，包括</w:t>
      </w:r>
      <w:r w:rsidRPr="003665F5">
        <w:rPr>
          <w:rFonts w:ascii="新宋体" w:eastAsia="新宋体" w:hAnsi="新宋体"/>
          <w:bCs/>
          <w:sz w:val="18"/>
          <w:szCs w:val="18"/>
        </w:rPr>
        <w:t>100</w:t>
      </w:r>
      <w:r w:rsidRPr="003665F5">
        <w:rPr>
          <w:rFonts w:ascii="新宋体" w:eastAsia="新宋体" w:hAnsi="新宋体" w:hint="eastAsia"/>
          <w:bCs/>
          <w:sz w:val="18"/>
          <w:szCs w:val="18"/>
        </w:rPr>
        <w:t>多本书籍、10种仲裁专业期刊</w:t>
      </w:r>
      <w:r w:rsidR="003665F5">
        <w:rPr>
          <w:rFonts w:ascii="新宋体" w:eastAsia="新宋体" w:hAnsi="新宋体" w:hint="eastAsia"/>
          <w:bCs/>
          <w:sz w:val="18"/>
          <w:szCs w:val="18"/>
        </w:rPr>
        <w:t>；</w:t>
      </w:r>
    </w:p>
    <w:p w:rsidR="002F5838" w:rsidRPr="003665F5" w:rsidRDefault="002F5838" w:rsidP="00EB2785">
      <w:pPr>
        <w:pStyle w:val="ListParagraph"/>
        <w:numPr>
          <w:ilvl w:val="0"/>
          <w:numId w:val="5"/>
        </w:numPr>
        <w:spacing w:line="360" w:lineRule="auto"/>
        <w:ind w:firstLineChars="0"/>
        <w:jc w:val="left"/>
        <w:rPr>
          <w:rFonts w:ascii="新宋体" w:eastAsia="新宋体" w:hAnsi="新宋体"/>
          <w:bCs/>
          <w:sz w:val="18"/>
          <w:szCs w:val="18"/>
        </w:rPr>
      </w:pPr>
      <w:r w:rsidRPr="003665F5">
        <w:rPr>
          <w:rFonts w:ascii="新宋体" w:eastAsia="新宋体" w:hAnsi="新宋体"/>
          <w:bCs/>
          <w:sz w:val="18"/>
          <w:szCs w:val="18"/>
        </w:rPr>
        <w:t>ICCA</w:t>
      </w:r>
      <w:r w:rsidRPr="003665F5">
        <w:rPr>
          <w:rFonts w:ascii="新宋体" w:eastAsia="新宋体" w:hAnsi="新宋体" w:hint="eastAsia"/>
          <w:bCs/>
          <w:sz w:val="18"/>
          <w:szCs w:val="18"/>
        </w:rPr>
        <w:t>国会系列出版物、</w:t>
      </w:r>
      <w:r w:rsidRPr="003665F5">
        <w:rPr>
          <w:rFonts w:ascii="新宋体" w:eastAsia="新宋体" w:hAnsi="新宋体"/>
          <w:bCs/>
          <w:sz w:val="18"/>
          <w:szCs w:val="18"/>
        </w:rPr>
        <w:t>ICCA</w:t>
      </w:r>
      <w:r w:rsidRPr="003665F5">
        <w:rPr>
          <w:rFonts w:ascii="新宋体" w:eastAsia="新宋体" w:hAnsi="新宋体" w:hint="eastAsia"/>
          <w:bCs/>
          <w:sz w:val="18"/>
          <w:szCs w:val="18"/>
        </w:rPr>
        <w:t>手册以及</w:t>
      </w:r>
      <w:r w:rsidRPr="003665F5">
        <w:rPr>
          <w:rFonts w:ascii="新宋体" w:eastAsia="新宋体" w:hAnsi="新宋体"/>
          <w:bCs/>
          <w:sz w:val="18"/>
          <w:szCs w:val="18"/>
        </w:rPr>
        <w:t>ICCA</w:t>
      </w:r>
      <w:r w:rsidRPr="003665F5">
        <w:rPr>
          <w:rFonts w:ascii="新宋体" w:eastAsia="新宋体" w:hAnsi="新宋体" w:hint="eastAsia"/>
          <w:bCs/>
          <w:sz w:val="18"/>
          <w:szCs w:val="18"/>
        </w:rPr>
        <w:t>年鉴</w:t>
      </w:r>
      <w:r w:rsidR="003665F5">
        <w:rPr>
          <w:rFonts w:ascii="新宋体" w:eastAsia="新宋体" w:hAnsi="新宋体" w:hint="eastAsia"/>
          <w:bCs/>
          <w:sz w:val="18"/>
          <w:szCs w:val="18"/>
        </w:rPr>
        <w:t>；</w:t>
      </w:r>
    </w:p>
    <w:p w:rsidR="002F5838" w:rsidRPr="003665F5" w:rsidRDefault="002F5838" w:rsidP="00EB2785">
      <w:pPr>
        <w:pStyle w:val="ListParagraph"/>
        <w:numPr>
          <w:ilvl w:val="0"/>
          <w:numId w:val="4"/>
        </w:numPr>
        <w:spacing w:line="360" w:lineRule="auto"/>
        <w:ind w:firstLineChars="0"/>
        <w:jc w:val="left"/>
        <w:rPr>
          <w:rFonts w:ascii="新宋体" w:eastAsia="新宋体" w:hAnsi="新宋体"/>
          <w:b/>
          <w:bCs/>
          <w:sz w:val="18"/>
          <w:szCs w:val="18"/>
        </w:rPr>
      </w:pPr>
      <w:r w:rsidRPr="003665F5">
        <w:rPr>
          <w:rFonts w:ascii="新宋体" w:eastAsia="新宋体" w:hAnsi="新宋体" w:hint="eastAsia"/>
          <w:b/>
          <w:bCs/>
          <w:sz w:val="18"/>
          <w:szCs w:val="18"/>
        </w:rPr>
        <w:t>仲裁案例、法规、协定、公约、仲裁规则</w:t>
      </w:r>
    </w:p>
    <w:p w:rsidR="003665F5" w:rsidRDefault="002F5838" w:rsidP="00EB2785">
      <w:pPr>
        <w:pStyle w:val="ListParagraph"/>
        <w:numPr>
          <w:ilvl w:val="0"/>
          <w:numId w:val="6"/>
        </w:numPr>
        <w:spacing w:line="360" w:lineRule="auto"/>
        <w:ind w:firstLineChars="0"/>
        <w:jc w:val="left"/>
        <w:rPr>
          <w:rFonts w:ascii="新宋体" w:eastAsia="新宋体" w:hAnsi="新宋体"/>
          <w:bCs/>
          <w:sz w:val="18"/>
          <w:szCs w:val="18"/>
        </w:rPr>
      </w:pPr>
      <w:r w:rsidRPr="003665F5">
        <w:rPr>
          <w:rFonts w:ascii="新宋体" w:eastAsia="新宋体" w:hAnsi="新宋体" w:hint="eastAsia"/>
          <w:bCs/>
          <w:sz w:val="18"/>
          <w:szCs w:val="18"/>
        </w:rPr>
        <w:t>仲裁裁决及判例，收录超过</w:t>
      </w:r>
      <w:r w:rsidR="003665F5" w:rsidRPr="003665F5">
        <w:rPr>
          <w:rFonts w:ascii="新宋体" w:eastAsia="新宋体" w:hAnsi="新宋体" w:hint="eastAsia"/>
          <w:b/>
          <w:bCs/>
          <w:sz w:val="18"/>
          <w:szCs w:val="18"/>
        </w:rPr>
        <w:t>98</w:t>
      </w:r>
      <w:r w:rsidRPr="003665F5">
        <w:rPr>
          <w:rFonts w:ascii="新宋体" w:eastAsia="新宋体" w:hAnsi="新宋体"/>
          <w:b/>
          <w:bCs/>
          <w:sz w:val="18"/>
          <w:szCs w:val="18"/>
        </w:rPr>
        <w:t>00</w:t>
      </w:r>
      <w:r w:rsidRPr="003665F5">
        <w:rPr>
          <w:rFonts w:ascii="新宋体" w:eastAsia="新宋体" w:hAnsi="新宋体" w:hint="eastAsia"/>
          <w:b/>
          <w:bCs/>
          <w:sz w:val="18"/>
          <w:szCs w:val="18"/>
        </w:rPr>
        <w:t>条</w:t>
      </w:r>
      <w:r w:rsidRPr="003665F5">
        <w:rPr>
          <w:rFonts w:ascii="新宋体" w:eastAsia="新宋体" w:hAnsi="新宋体" w:hint="eastAsia"/>
          <w:bCs/>
          <w:sz w:val="18"/>
          <w:szCs w:val="18"/>
        </w:rPr>
        <w:t>典型的法庭决议以及</w:t>
      </w:r>
      <w:r w:rsidRPr="003665F5">
        <w:rPr>
          <w:rFonts w:ascii="新宋体" w:eastAsia="新宋体" w:hAnsi="新宋体"/>
          <w:b/>
          <w:bCs/>
          <w:sz w:val="18"/>
          <w:szCs w:val="18"/>
        </w:rPr>
        <w:t>2</w:t>
      </w:r>
      <w:r w:rsidR="003665F5" w:rsidRPr="003665F5">
        <w:rPr>
          <w:rFonts w:ascii="新宋体" w:eastAsia="新宋体" w:hAnsi="新宋体" w:hint="eastAsia"/>
          <w:b/>
          <w:bCs/>
          <w:sz w:val="18"/>
          <w:szCs w:val="18"/>
        </w:rPr>
        <w:t>2</w:t>
      </w:r>
      <w:r w:rsidRPr="003665F5">
        <w:rPr>
          <w:rFonts w:ascii="新宋体" w:eastAsia="新宋体" w:hAnsi="新宋体"/>
          <w:b/>
          <w:bCs/>
          <w:sz w:val="18"/>
          <w:szCs w:val="18"/>
        </w:rPr>
        <w:t>00</w:t>
      </w:r>
      <w:r w:rsidRPr="003665F5">
        <w:rPr>
          <w:rFonts w:ascii="新宋体" w:eastAsia="新宋体" w:hAnsi="新宋体" w:hint="eastAsia"/>
          <w:b/>
          <w:bCs/>
          <w:sz w:val="18"/>
          <w:szCs w:val="18"/>
        </w:rPr>
        <w:t>余</w:t>
      </w:r>
      <w:r w:rsidRPr="003665F5">
        <w:rPr>
          <w:rFonts w:ascii="新宋体" w:eastAsia="新宋体" w:hAnsi="新宋体" w:hint="eastAsia"/>
          <w:bCs/>
          <w:sz w:val="18"/>
          <w:szCs w:val="18"/>
        </w:rPr>
        <w:t>项典型的仲裁裁决案例</w:t>
      </w:r>
      <w:r w:rsidR="003665F5">
        <w:rPr>
          <w:rFonts w:ascii="新宋体" w:eastAsia="新宋体" w:hAnsi="新宋体" w:hint="eastAsia"/>
          <w:bCs/>
          <w:sz w:val="18"/>
          <w:szCs w:val="18"/>
        </w:rPr>
        <w:t>；</w:t>
      </w:r>
    </w:p>
    <w:p w:rsidR="003665F5" w:rsidRDefault="002F5838" w:rsidP="00EB2785">
      <w:pPr>
        <w:pStyle w:val="ListParagraph"/>
        <w:numPr>
          <w:ilvl w:val="0"/>
          <w:numId w:val="6"/>
        </w:numPr>
        <w:spacing w:line="360" w:lineRule="auto"/>
        <w:ind w:firstLineChars="0"/>
        <w:jc w:val="left"/>
        <w:rPr>
          <w:rFonts w:ascii="新宋体" w:eastAsia="新宋体" w:hAnsi="新宋体"/>
          <w:bCs/>
          <w:sz w:val="18"/>
          <w:szCs w:val="18"/>
        </w:rPr>
      </w:pPr>
      <w:r w:rsidRPr="003665F5">
        <w:rPr>
          <w:rFonts w:ascii="新宋体" w:eastAsia="新宋体" w:hAnsi="新宋体" w:hint="eastAsia"/>
          <w:bCs/>
          <w:sz w:val="18"/>
          <w:szCs w:val="18"/>
        </w:rPr>
        <w:t>双边投资协定，超过</w:t>
      </w:r>
      <w:r w:rsidRPr="003665F5">
        <w:rPr>
          <w:rFonts w:ascii="新宋体" w:eastAsia="新宋体" w:hAnsi="新宋体"/>
          <w:b/>
          <w:bCs/>
          <w:sz w:val="18"/>
          <w:szCs w:val="18"/>
        </w:rPr>
        <w:t>2</w:t>
      </w:r>
      <w:r w:rsidR="003665F5" w:rsidRPr="003665F5">
        <w:rPr>
          <w:rFonts w:ascii="新宋体" w:eastAsia="新宋体" w:hAnsi="新宋体" w:hint="eastAsia"/>
          <w:b/>
          <w:bCs/>
          <w:sz w:val="18"/>
          <w:szCs w:val="18"/>
        </w:rPr>
        <w:t>3</w:t>
      </w:r>
      <w:r w:rsidRPr="003665F5">
        <w:rPr>
          <w:rFonts w:ascii="新宋体" w:eastAsia="新宋体" w:hAnsi="新宋体"/>
          <w:b/>
          <w:bCs/>
          <w:sz w:val="18"/>
          <w:szCs w:val="18"/>
        </w:rPr>
        <w:t>00</w:t>
      </w:r>
      <w:r w:rsidRPr="003665F5">
        <w:rPr>
          <w:rFonts w:ascii="新宋体" w:eastAsia="新宋体" w:hAnsi="新宋体" w:hint="eastAsia"/>
          <w:b/>
          <w:bCs/>
          <w:sz w:val="18"/>
          <w:szCs w:val="18"/>
        </w:rPr>
        <w:t>条</w:t>
      </w:r>
      <w:r w:rsidRPr="003665F5">
        <w:rPr>
          <w:rFonts w:ascii="新宋体" w:eastAsia="新宋体" w:hAnsi="新宋体" w:hint="eastAsia"/>
          <w:bCs/>
          <w:sz w:val="18"/>
          <w:szCs w:val="18"/>
        </w:rPr>
        <w:t>双边投资协定原文，并可通过便捷的</w:t>
      </w:r>
      <w:r w:rsidRPr="003665F5">
        <w:rPr>
          <w:rFonts w:ascii="新宋体" w:eastAsia="新宋体" w:hAnsi="新宋体"/>
          <w:bCs/>
          <w:sz w:val="18"/>
          <w:szCs w:val="18"/>
        </w:rPr>
        <w:t>BIT</w:t>
      </w:r>
      <w:r w:rsidRPr="003665F5">
        <w:rPr>
          <w:rFonts w:ascii="新宋体" w:eastAsia="新宋体" w:hAnsi="新宋体" w:hint="eastAsia"/>
          <w:bCs/>
          <w:sz w:val="18"/>
          <w:szCs w:val="18"/>
        </w:rPr>
        <w:t>工具获得其签字生效日期及其缔约国详情</w:t>
      </w:r>
      <w:r w:rsidR="003665F5">
        <w:rPr>
          <w:rFonts w:ascii="新宋体" w:eastAsia="新宋体" w:hAnsi="新宋体" w:hint="eastAsia"/>
          <w:bCs/>
          <w:sz w:val="18"/>
          <w:szCs w:val="18"/>
        </w:rPr>
        <w:t>；</w:t>
      </w:r>
    </w:p>
    <w:p w:rsidR="003665F5" w:rsidRDefault="002F5838" w:rsidP="00EB2785">
      <w:pPr>
        <w:pStyle w:val="ListParagraph"/>
        <w:numPr>
          <w:ilvl w:val="0"/>
          <w:numId w:val="6"/>
        </w:numPr>
        <w:spacing w:line="360" w:lineRule="auto"/>
        <w:ind w:firstLineChars="0"/>
        <w:jc w:val="left"/>
        <w:rPr>
          <w:rFonts w:ascii="新宋体" w:eastAsia="新宋体" w:hAnsi="新宋体"/>
          <w:bCs/>
          <w:sz w:val="18"/>
          <w:szCs w:val="18"/>
        </w:rPr>
      </w:pPr>
      <w:r w:rsidRPr="003665F5">
        <w:rPr>
          <w:rFonts w:ascii="新宋体" w:eastAsia="新宋体" w:hAnsi="新宋体" w:hint="eastAsia"/>
          <w:bCs/>
          <w:sz w:val="18"/>
          <w:szCs w:val="18"/>
        </w:rPr>
        <w:t>公约，运用全新的“纽约公约判决工具”帮助您搜索纽约公约或其他相关判决案例浏览大部分的仲裁条约全文，以及相关的法庭判决和大量的相关参考文献</w:t>
      </w:r>
      <w:r w:rsidR="003665F5">
        <w:rPr>
          <w:rFonts w:ascii="新宋体" w:eastAsia="新宋体" w:hAnsi="新宋体" w:hint="eastAsia"/>
          <w:bCs/>
          <w:sz w:val="18"/>
          <w:szCs w:val="18"/>
        </w:rPr>
        <w:t>；</w:t>
      </w:r>
    </w:p>
    <w:p w:rsidR="003665F5" w:rsidRDefault="002F5838" w:rsidP="00EB2785">
      <w:pPr>
        <w:pStyle w:val="ListParagraph"/>
        <w:numPr>
          <w:ilvl w:val="0"/>
          <w:numId w:val="6"/>
        </w:numPr>
        <w:spacing w:line="360" w:lineRule="auto"/>
        <w:ind w:firstLineChars="0"/>
        <w:jc w:val="left"/>
        <w:rPr>
          <w:rFonts w:ascii="新宋体" w:eastAsia="新宋体" w:hAnsi="新宋体"/>
          <w:bCs/>
          <w:sz w:val="18"/>
          <w:szCs w:val="18"/>
        </w:rPr>
      </w:pPr>
      <w:r w:rsidRPr="003665F5">
        <w:rPr>
          <w:rFonts w:ascii="新宋体" w:eastAsia="新宋体" w:hAnsi="新宋体" w:hint="eastAsia"/>
          <w:bCs/>
          <w:sz w:val="18"/>
          <w:szCs w:val="18"/>
        </w:rPr>
        <w:t>各司法管辖国信息，超过200个国家及地区的仲裁组织结构、双边投资协定、法庭判决案例、相关立法、裁决和法规</w:t>
      </w:r>
      <w:r w:rsidR="003665F5">
        <w:rPr>
          <w:rFonts w:ascii="新宋体" w:eastAsia="新宋体" w:hAnsi="新宋体" w:hint="eastAsia"/>
          <w:bCs/>
          <w:sz w:val="18"/>
          <w:szCs w:val="18"/>
        </w:rPr>
        <w:t>；</w:t>
      </w:r>
    </w:p>
    <w:p w:rsidR="002F5838" w:rsidRPr="003665F5" w:rsidRDefault="002F5838" w:rsidP="00EB2785">
      <w:pPr>
        <w:pStyle w:val="ListParagraph"/>
        <w:numPr>
          <w:ilvl w:val="0"/>
          <w:numId w:val="6"/>
        </w:numPr>
        <w:spacing w:line="360" w:lineRule="auto"/>
        <w:ind w:firstLineChars="0"/>
        <w:jc w:val="left"/>
        <w:rPr>
          <w:rFonts w:ascii="新宋体" w:eastAsia="新宋体" w:hAnsi="新宋体"/>
          <w:bCs/>
          <w:sz w:val="18"/>
          <w:szCs w:val="18"/>
        </w:rPr>
      </w:pPr>
      <w:r w:rsidRPr="003665F5">
        <w:rPr>
          <w:rFonts w:ascii="新宋体" w:eastAsia="新宋体" w:hAnsi="新宋体" w:hint="eastAsia"/>
          <w:bCs/>
          <w:sz w:val="18"/>
          <w:szCs w:val="18"/>
        </w:rPr>
        <w:t>链接到</w:t>
      </w:r>
      <w:r w:rsidRPr="003665F5">
        <w:rPr>
          <w:rFonts w:ascii="新宋体" w:eastAsia="新宋体" w:hAnsi="新宋体"/>
          <w:bCs/>
          <w:sz w:val="18"/>
          <w:szCs w:val="18"/>
        </w:rPr>
        <w:t>400</w:t>
      </w:r>
      <w:r w:rsidRPr="003665F5">
        <w:rPr>
          <w:rFonts w:ascii="新宋体" w:eastAsia="新宋体" w:hAnsi="新宋体" w:hint="eastAsia"/>
          <w:bCs/>
          <w:sz w:val="18"/>
          <w:szCs w:val="18"/>
        </w:rPr>
        <w:t>余家主要仲裁机构相关网站及规定</w:t>
      </w:r>
      <w:r w:rsidR="003665F5">
        <w:rPr>
          <w:rFonts w:ascii="新宋体" w:eastAsia="新宋体" w:hAnsi="新宋体" w:hint="eastAsia"/>
          <w:bCs/>
          <w:sz w:val="18"/>
          <w:szCs w:val="18"/>
        </w:rPr>
        <w:t>；</w:t>
      </w:r>
    </w:p>
    <w:p w:rsidR="002F5838" w:rsidRPr="003665F5" w:rsidRDefault="002F5838" w:rsidP="00EB2785">
      <w:pPr>
        <w:pStyle w:val="ListParagraph"/>
        <w:numPr>
          <w:ilvl w:val="0"/>
          <w:numId w:val="4"/>
        </w:numPr>
        <w:spacing w:line="360" w:lineRule="auto"/>
        <w:ind w:firstLineChars="0"/>
        <w:jc w:val="left"/>
        <w:rPr>
          <w:rFonts w:ascii="新宋体" w:eastAsia="新宋体" w:hAnsi="新宋体"/>
          <w:b/>
          <w:bCs/>
          <w:sz w:val="18"/>
          <w:szCs w:val="18"/>
        </w:rPr>
      </w:pPr>
      <w:r w:rsidRPr="003665F5">
        <w:rPr>
          <w:rFonts w:ascii="新宋体" w:eastAsia="新宋体" w:hAnsi="新宋体" w:hint="eastAsia"/>
          <w:b/>
          <w:bCs/>
          <w:sz w:val="18"/>
          <w:szCs w:val="18"/>
        </w:rPr>
        <w:t>智能工具</w:t>
      </w:r>
    </w:p>
    <w:p w:rsidR="002F5838" w:rsidRPr="003665F5" w:rsidRDefault="002F5838" w:rsidP="00EB2785">
      <w:pPr>
        <w:spacing w:line="360" w:lineRule="auto"/>
        <w:ind w:left="720"/>
        <w:jc w:val="left"/>
        <w:rPr>
          <w:rFonts w:ascii="新宋体" w:eastAsia="新宋体" w:hAnsi="新宋体"/>
          <w:bCs/>
          <w:sz w:val="18"/>
          <w:szCs w:val="18"/>
        </w:rPr>
      </w:pPr>
      <w:r w:rsidRPr="003665F5">
        <w:rPr>
          <w:rFonts w:ascii="新宋体" w:eastAsia="新宋体" w:hAnsi="新宋体" w:hint="eastAsia"/>
          <w:bCs/>
          <w:sz w:val="18"/>
          <w:szCs w:val="18"/>
        </w:rPr>
        <w:t>提供9种智能工具，分别仲裁员、</w:t>
      </w:r>
      <w:r w:rsidR="003665F5">
        <w:rPr>
          <w:rFonts w:ascii="新宋体" w:eastAsia="新宋体" w:hAnsi="新宋体" w:hint="eastAsia"/>
          <w:bCs/>
          <w:sz w:val="18"/>
          <w:szCs w:val="18"/>
        </w:rPr>
        <w:t>调解员、</w:t>
      </w:r>
      <w:r w:rsidRPr="003665F5">
        <w:rPr>
          <w:rFonts w:ascii="新宋体" w:eastAsia="新宋体" w:hAnsi="新宋体" w:hint="eastAsia"/>
          <w:bCs/>
          <w:sz w:val="18"/>
          <w:szCs w:val="18"/>
        </w:rPr>
        <w:t>仲裁机构、起草仲裁协议</w:t>
      </w:r>
      <w:r w:rsidR="00EB2785">
        <w:rPr>
          <w:rFonts w:ascii="新宋体" w:eastAsia="新宋体" w:hAnsi="新宋体" w:hint="eastAsia"/>
          <w:bCs/>
          <w:sz w:val="18"/>
          <w:szCs w:val="18"/>
        </w:rPr>
        <w:t>、国家豁免权、仲裁员任命、隐私与保密性、仲裁员的增值税处理</w:t>
      </w:r>
      <w:r w:rsidRPr="003665F5">
        <w:rPr>
          <w:rFonts w:ascii="新宋体" w:eastAsia="新宋体" w:hAnsi="新宋体" w:hint="eastAsia"/>
          <w:bCs/>
          <w:sz w:val="18"/>
          <w:szCs w:val="18"/>
        </w:rPr>
        <w:t>等方面的各国或各仲裁机构的比较，只需要鼠标点选你需要的领域和国别，就能呈现清晰的对比和答案</w:t>
      </w:r>
      <w:r w:rsidR="003665F5">
        <w:rPr>
          <w:rFonts w:ascii="新宋体" w:eastAsia="新宋体" w:hAnsi="新宋体" w:hint="eastAsia"/>
          <w:bCs/>
          <w:sz w:val="18"/>
          <w:szCs w:val="18"/>
        </w:rPr>
        <w:t>。</w:t>
      </w:r>
    </w:p>
    <w:p w:rsidR="002F5838" w:rsidRPr="003665F5" w:rsidRDefault="002F5838" w:rsidP="00EB2785">
      <w:pPr>
        <w:pStyle w:val="ListParagraph"/>
        <w:numPr>
          <w:ilvl w:val="0"/>
          <w:numId w:val="4"/>
        </w:numPr>
        <w:spacing w:line="360" w:lineRule="auto"/>
        <w:ind w:firstLineChars="0"/>
        <w:jc w:val="left"/>
        <w:rPr>
          <w:rFonts w:ascii="新宋体" w:eastAsia="新宋体" w:hAnsi="新宋体"/>
          <w:b/>
          <w:bCs/>
          <w:sz w:val="18"/>
          <w:szCs w:val="18"/>
        </w:rPr>
      </w:pPr>
      <w:r w:rsidRPr="003665F5">
        <w:rPr>
          <w:rFonts w:ascii="新宋体" w:eastAsia="新宋体" w:hAnsi="新宋体" w:hint="eastAsia"/>
          <w:b/>
          <w:bCs/>
          <w:sz w:val="18"/>
          <w:szCs w:val="18"/>
        </w:rPr>
        <w:t>新闻资讯</w:t>
      </w:r>
    </w:p>
    <w:p w:rsidR="003665F5" w:rsidRDefault="002F5838" w:rsidP="00EB2785">
      <w:pPr>
        <w:pStyle w:val="ListParagraph"/>
        <w:numPr>
          <w:ilvl w:val="0"/>
          <w:numId w:val="7"/>
        </w:numPr>
        <w:spacing w:line="360" w:lineRule="auto"/>
        <w:ind w:firstLineChars="0"/>
        <w:jc w:val="left"/>
        <w:rPr>
          <w:rFonts w:ascii="新宋体" w:eastAsia="新宋体" w:hAnsi="新宋体"/>
          <w:bCs/>
          <w:sz w:val="18"/>
          <w:szCs w:val="18"/>
        </w:rPr>
      </w:pPr>
      <w:r w:rsidRPr="003665F5">
        <w:rPr>
          <w:rFonts w:ascii="新宋体" w:eastAsia="新宋体" w:hAnsi="新宋体" w:hint="eastAsia"/>
          <w:bCs/>
          <w:sz w:val="18"/>
          <w:szCs w:val="18"/>
        </w:rPr>
        <w:t>专家博客，分享众多世界著名仲裁领域专家的真知灼见、更新发展趋势</w:t>
      </w:r>
      <w:r w:rsidR="003665F5">
        <w:rPr>
          <w:rFonts w:ascii="新宋体" w:eastAsia="新宋体" w:hAnsi="新宋体" w:hint="eastAsia"/>
          <w:bCs/>
          <w:sz w:val="18"/>
          <w:szCs w:val="18"/>
        </w:rPr>
        <w:t>；</w:t>
      </w:r>
    </w:p>
    <w:p w:rsidR="002F5838" w:rsidRPr="003665F5" w:rsidRDefault="002F5838" w:rsidP="00EB2785">
      <w:pPr>
        <w:pStyle w:val="ListParagraph"/>
        <w:numPr>
          <w:ilvl w:val="0"/>
          <w:numId w:val="7"/>
        </w:numPr>
        <w:spacing w:line="360" w:lineRule="auto"/>
        <w:ind w:firstLineChars="0"/>
        <w:jc w:val="left"/>
        <w:rPr>
          <w:rFonts w:ascii="新宋体" w:eastAsia="新宋体" w:hAnsi="新宋体"/>
          <w:bCs/>
          <w:sz w:val="18"/>
          <w:szCs w:val="18"/>
        </w:rPr>
      </w:pPr>
      <w:r w:rsidRPr="00EB2785">
        <w:rPr>
          <w:rFonts w:ascii="新宋体" w:eastAsia="新宋体" w:hAnsi="新宋体" w:hint="eastAsia"/>
          <w:bCs/>
          <w:sz w:val="18"/>
          <w:szCs w:val="18"/>
        </w:rPr>
        <w:t>新闻推送，及时更新法律、法规、关键判决的发展和变化，国际仲裁协会报道的最新资讯及由该协会发行的电子月报</w:t>
      </w:r>
      <w:r w:rsidR="003665F5" w:rsidRPr="00EB2785">
        <w:rPr>
          <w:rFonts w:ascii="新宋体" w:eastAsia="新宋体" w:hAnsi="新宋体" w:hint="eastAsia"/>
          <w:bCs/>
          <w:sz w:val="18"/>
          <w:szCs w:val="18"/>
        </w:rPr>
        <w:t>。</w:t>
      </w:r>
    </w:p>
    <w:sectPr w:rsidR="002F5838" w:rsidRPr="00366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1FD"/>
    <w:multiLevelType w:val="hybridMultilevel"/>
    <w:tmpl w:val="273CA3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23794D"/>
    <w:multiLevelType w:val="hybridMultilevel"/>
    <w:tmpl w:val="84AC20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4F067A"/>
    <w:multiLevelType w:val="hybridMultilevel"/>
    <w:tmpl w:val="478E9B12"/>
    <w:lvl w:ilvl="0" w:tplc="6016B2F2">
      <w:numFmt w:val="bullet"/>
      <w:lvlText w:val="-"/>
      <w:lvlJc w:val="left"/>
      <w:pPr>
        <w:ind w:left="360" w:hanging="360"/>
      </w:pPr>
      <w:rPr>
        <w:rFonts w:ascii="Calibri" w:eastAsiaTheme="minorEastAsia" w:hAnsi="Calibri" w:cs="Calibri"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393B29"/>
    <w:multiLevelType w:val="hybridMultilevel"/>
    <w:tmpl w:val="2314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5424C"/>
    <w:multiLevelType w:val="hybridMultilevel"/>
    <w:tmpl w:val="A1ACB018"/>
    <w:lvl w:ilvl="0" w:tplc="6016B2F2">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F4F7365"/>
    <w:multiLevelType w:val="hybridMultilevel"/>
    <w:tmpl w:val="661CC6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5A7D25"/>
    <w:multiLevelType w:val="hybridMultilevel"/>
    <w:tmpl w:val="D2D24104"/>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DE"/>
    <w:rsid w:val="00023DDF"/>
    <w:rsid w:val="0004422F"/>
    <w:rsid w:val="00064CAC"/>
    <w:rsid w:val="000B091F"/>
    <w:rsid w:val="001F289C"/>
    <w:rsid w:val="00241329"/>
    <w:rsid w:val="002F5838"/>
    <w:rsid w:val="00330B30"/>
    <w:rsid w:val="003665F5"/>
    <w:rsid w:val="00392B54"/>
    <w:rsid w:val="003B6A0E"/>
    <w:rsid w:val="004E63FE"/>
    <w:rsid w:val="00567B03"/>
    <w:rsid w:val="005B01FC"/>
    <w:rsid w:val="005E4CB7"/>
    <w:rsid w:val="005F22BA"/>
    <w:rsid w:val="006155A6"/>
    <w:rsid w:val="00673DC0"/>
    <w:rsid w:val="006C04DE"/>
    <w:rsid w:val="006E5186"/>
    <w:rsid w:val="007E57F0"/>
    <w:rsid w:val="007F2688"/>
    <w:rsid w:val="008004CC"/>
    <w:rsid w:val="00826692"/>
    <w:rsid w:val="0089573A"/>
    <w:rsid w:val="00A45C9F"/>
    <w:rsid w:val="00A87CAF"/>
    <w:rsid w:val="00AB5E76"/>
    <w:rsid w:val="00AE2303"/>
    <w:rsid w:val="00AE32C1"/>
    <w:rsid w:val="00B21640"/>
    <w:rsid w:val="00B6719D"/>
    <w:rsid w:val="00D85F2B"/>
    <w:rsid w:val="00D90BC8"/>
    <w:rsid w:val="00DD1684"/>
    <w:rsid w:val="00DF2A3E"/>
    <w:rsid w:val="00E15DB1"/>
    <w:rsid w:val="00E32140"/>
    <w:rsid w:val="00EB2785"/>
    <w:rsid w:val="00EB3027"/>
    <w:rsid w:val="00EF3A5D"/>
    <w:rsid w:val="00F3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8BF93-58C4-4D3C-9DA4-67C21C1A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DE"/>
    <w:pPr>
      <w:widowControl w:val="0"/>
      <w:jc w:val="both"/>
    </w:pPr>
  </w:style>
  <w:style w:type="paragraph" w:styleId="Heading1">
    <w:name w:val="heading 1"/>
    <w:basedOn w:val="Normal"/>
    <w:link w:val="Heading1Char"/>
    <w:uiPriority w:val="9"/>
    <w:qFormat/>
    <w:rsid w:val="005B01FC"/>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C04DE"/>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SubtitleChar">
    <w:name w:val="Subtitle Char"/>
    <w:basedOn w:val="DefaultParagraphFont"/>
    <w:link w:val="Subtitle"/>
    <w:uiPriority w:val="11"/>
    <w:rsid w:val="006C04DE"/>
    <w:rPr>
      <w:rFonts w:asciiTheme="majorHAnsi" w:eastAsia="宋体" w:hAnsiTheme="majorHAnsi" w:cstheme="majorBidi"/>
      <w:b/>
      <w:bCs/>
      <w:kern w:val="28"/>
      <w:sz w:val="32"/>
      <w:szCs w:val="32"/>
    </w:rPr>
  </w:style>
  <w:style w:type="character" w:styleId="Hyperlink">
    <w:name w:val="Hyperlink"/>
    <w:basedOn w:val="DefaultParagraphFont"/>
    <w:uiPriority w:val="99"/>
    <w:unhideWhenUsed/>
    <w:rsid w:val="006C04DE"/>
    <w:rPr>
      <w:color w:val="0000FF" w:themeColor="hyperlink"/>
      <w:u w:val="single"/>
    </w:rPr>
  </w:style>
  <w:style w:type="character" w:styleId="FollowedHyperlink">
    <w:name w:val="FollowedHyperlink"/>
    <w:basedOn w:val="DefaultParagraphFont"/>
    <w:uiPriority w:val="99"/>
    <w:semiHidden/>
    <w:unhideWhenUsed/>
    <w:rsid w:val="006C04DE"/>
    <w:rPr>
      <w:color w:val="800080" w:themeColor="followedHyperlink"/>
      <w:u w:val="single"/>
    </w:rPr>
  </w:style>
  <w:style w:type="paragraph" w:styleId="ListParagraph">
    <w:name w:val="List Paragraph"/>
    <w:basedOn w:val="Normal"/>
    <w:uiPriority w:val="34"/>
    <w:qFormat/>
    <w:rsid w:val="005E4CB7"/>
    <w:pPr>
      <w:ind w:firstLineChars="200" w:firstLine="420"/>
    </w:pPr>
  </w:style>
  <w:style w:type="character" w:customStyle="1" w:styleId="Heading1Char">
    <w:name w:val="Heading 1 Char"/>
    <w:basedOn w:val="DefaultParagraphFont"/>
    <w:link w:val="Heading1"/>
    <w:uiPriority w:val="9"/>
    <w:rsid w:val="005B01FC"/>
    <w:rPr>
      <w:rFonts w:ascii="Times New Roman" w:eastAsia="Times New Roman" w:hAnsi="Times New Roman" w:cs="Times New Roman"/>
      <w:b/>
      <w:bCs/>
      <w:kern w:val="36"/>
      <w:sz w:val="48"/>
      <w:szCs w:val="48"/>
    </w:rPr>
  </w:style>
  <w:style w:type="paragraph" w:customStyle="1" w:styleId="NoSpacing1">
    <w:name w:val="No Spacing1"/>
    <w:uiPriority w:val="1"/>
    <w:qFormat/>
    <w:rsid w:val="00DD168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6632">
      <w:bodyDiv w:val="1"/>
      <w:marLeft w:val="0"/>
      <w:marRight w:val="0"/>
      <w:marTop w:val="0"/>
      <w:marBottom w:val="0"/>
      <w:divBdr>
        <w:top w:val="none" w:sz="0" w:space="0" w:color="auto"/>
        <w:left w:val="none" w:sz="0" w:space="0" w:color="auto"/>
        <w:bottom w:val="none" w:sz="0" w:space="0" w:color="auto"/>
        <w:right w:val="none" w:sz="0" w:space="0" w:color="auto"/>
      </w:divBdr>
    </w:div>
    <w:div w:id="12783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uwerarbitration.com/static/help.html" TargetMode="External"/><Relationship Id="rId5" Type="http://schemas.openxmlformats.org/officeDocument/2006/relationships/hyperlink" Target="http://www.kluwerArbitr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Wolters Kluwer Asia Pacific</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Li</dc:creator>
  <cp:lastModifiedBy>a</cp:lastModifiedBy>
  <cp:revision>15</cp:revision>
  <dcterms:created xsi:type="dcterms:W3CDTF">2012-03-07T03:17:00Z</dcterms:created>
  <dcterms:modified xsi:type="dcterms:W3CDTF">2017-03-29T13:45:00Z</dcterms:modified>
</cp:coreProperties>
</file>