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F7" w:rsidRDefault="001B5CAF">
      <w:pPr>
        <w:snapToGrid w:val="0"/>
        <w:spacing w:line="560" w:lineRule="exact"/>
        <w:rPr>
          <w:rFonts w:ascii="Times New Roman" w:eastAsia="方正黑体_GBK" w:hAnsi="Times New Roman"/>
          <w:spacing w:val="6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/>
          <w:spacing w:val="6"/>
          <w:sz w:val="32"/>
          <w:szCs w:val="32"/>
        </w:rPr>
        <w:t>附件</w:t>
      </w:r>
      <w:r>
        <w:rPr>
          <w:rFonts w:ascii="Times New Roman" w:eastAsia="方正黑体_GBK" w:hAnsi="Times New Roman"/>
          <w:spacing w:val="6"/>
          <w:sz w:val="32"/>
          <w:szCs w:val="32"/>
        </w:rPr>
        <w:t>4</w:t>
      </w:r>
    </w:p>
    <w:p w:rsidR="00161EF7" w:rsidRDefault="00161EF7">
      <w:pPr>
        <w:pStyle w:val="a8"/>
        <w:spacing w:after="0"/>
        <w:ind w:firstLine="328"/>
        <w:rPr>
          <w:rFonts w:ascii="Times New Roman" w:eastAsia="方正仿宋_GBK" w:hAnsi="Times New Roman"/>
          <w:spacing w:val="4"/>
          <w:sz w:val="32"/>
          <w:szCs w:val="32"/>
        </w:rPr>
      </w:pPr>
    </w:p>
    <w:p w:rsidR="00161EF7" w:rsidRDefault="001B5CAF">
      <w:pPr>
        <w:pStyle w:val="a8"/>
        <w:spacing w:after="0"/>
        <w:ind w:firstLineChars="0" w:firstLine="0"/>
        <w:rPr>
          <w:rFonts w:ascii="Times New Roman" w:eastAsia="方正黑体_GBK" w:hAnsi="Times New Roman"/>
          <w:spacing w:val="4"/>
          <w:sz w:val="32"/>
          <w:szCs w:val="32"/>
        </w:rPr>
      </w:pPr>
      <w:r>
        <w:rPr>
          <w:rFonts w:ascii="Times New Roman" w:eastAsia="方正黑体_GBK" w:hAnsi="Times New Roman"/>
          <w:spacing w:val="4"/>
          <w:sz w:val="32"/>
          <w:szCs w:val="32"/>
        </w:rPr>
        <w:t>【政协提案范例】</w:t>
      </w:r>
    </w:p>
    <w:p w:rsidR="00161EF7" w:rsidRDefault="00161EF7">
      <w:pPr>
        <w:pStyle w:val="a8"/>
        <w:spacing w:after="0"/>
        <w:ind w:firstLine="328"/>
        <w:rPr>
          <w:rFonts w:ascii="Times New Roman" w:eastAsia="方正黑体_GBK" w:hAnsi="Times New Roman"/>
          <w:spacing w:val="4"/>
          <w:sz w:val="32"/>
          <w:szCs w:val="32"/>
        </w:rPr>
      </w:pPr>
    </w:p>
    <w:p w:rsidR="00161EF7" w:rsidRDefault="001B5CAF">
      <w:pPr>
        <w:snapToGrid w:val="0"/>
        <w:spacing w:line="580" w:lineRule="exact"/>
        <w:jc w:val="center"/>
        <w:rPr>
          <w:rFonts w:ascii="Times New Roman" w:eastAsia="方正小标宋简体" w:hAnsi="Times New Roman"/>
          <w:spacing w:val="4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4"/>
          <w:sz w:val="44"/>
          <w:szCs w:val="44"/>
        </w:rPr>
        <w:t>全国政协十三届二次会议</w:t>
      </w:r>
      <w:r>
        <w:rPr>
          <w:rFonts w:ascii="Times New Roman" w:eastAsia="方正小标宋简体" w:hAnsi="Times New Roman"/>
          <w:spacing w:val="4"/>
          <w:sz w:val="44"/>
          <w:szCs w:val="44"/>
        </w:rPr>
        <w:t>第</w:t>
      </w:r>
      <w:r>
        <w:rPr>
          <w:rFonts w:ascii="Times New Roman" w:eastAsia="方正小标宋简体" w:hAnsi="Times New Roman"/>
          <w:spacing w:val="4"/>
          <w:sz w:val="44"/>
          <w:szCs w:val="44"/>
        </w:rPr>
        <w:t>0026</w:t>
      </w:r>
      <w:r>
        <w:rPr>
          <w:rFonts w:ascii="Times New Roman" w:eastAsia="方正小标宋简体" w:hAnsi="Times New Roman"/>
          <w:spacing w:val="4"/>
          <w:sz w:val="44"/>
          <w:szCs w:val="44"/>
        </w:rPr>
        <w:t>号提案</w:t>
      </w:r>
    </w:p>
    <w:p w:rsidR="00161EF7" w:rsidRDefault="00161EF7">
      <w:pPr>
        <w:spacing w:line="580" w:lineRule="exact"/>
        <w:rPr>
          <w:rFonts w:ascii="Times New Roman" w:hAnsi="Times New Roman"/>
          <w:sz w:val="32"/>
          <w:szCs w:val="32"/>
        </w:rPr>
      </w:pP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题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宋体" w:hint="eastAsia"/>
          <w:sz w:val="32"/>
          <w:szCs w:val="32"/>
        </w:rPr>
        <w:t>目：关于推进京津冀基本公共服务均等化的提案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主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宋体" w:hint="eastAsia"/>
          <w:sz w:val="32"/>
          <w:szCs w:val="32"/>
        </w:rPr>
        <w:t>办：国家发展改革委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会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宋体" w:hint="eastAsia"/>
          <w:sz w:val="32"/>
          <w:szCs w:val="32"/>
        </w:rPr>
        <w:t>办：教育部、财政部、国家卫生健康委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提案形式：党派提案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第一提案人：九三学社中央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内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宋体" w:hint="eastAsia"/>
          <w:sz w:val="32"/>
          <w:szCs w:val="32"/>
        </w:rPr>
        <w:t>容：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近年来，京津冀三地贯彻落实《京津冀协同发展规划纲要》精神，不断加强公共服务资源的共建共享，对接合作效果较为显著。但三地之间基本公共服务水平差距仍然很大，尤其是河北与京津相比明显滞后。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一是财政投入方面。以教育、卫生领域为例，河北省</w:t>
      </w:r>
      <w:r>
        <w:rPr>
          <w:rFonts w:ascii="Times New Roman" w:eastAsia="方正仿宋_GBK" w:hAnsi="Times New Roman" w:cs="宋体" w:hint="eastAsia"/>
          <w:sz w:val="32"/>
          <w:szCs w:val="32"/>
        </w:rPr>
        <w:t>2016</w:t>
      </w:r>
      <w:r>
        <w:rPr>
          <w:rFonts w:ascii="Times New Roman" w:eastAsia="方正仿宋_GBK" w:hAnsi="Times New Roman" w:cs="宋体" w:hint="eastAsia"/>
          <w:sz w:val="32"/>
          <w:szCs w:val="32"/>
        </w:rPr>
        <w:t>年财政用于教育、卫生领域的投入分别为</w:t>
      </w:r>
      <w:r>
        <w:rPr>
          <w:rFonts w:ascii="Times New Roman" w:eastAsia="方正仿宋_GBK" w:hAnsi="Times New Roman" w:cs="宋体" w:hint="eastAsia"/>
          <w:sz w:val="32"/>
          <w:szCs w:val="32"/>
        </w:rPr>
        <w:t>325.3</w:t>
      </w:r>
      <w:r>
        <w:rPr>
          <w:rFonts w:ascii="Times New Roman" w:eastAsia="方正仿宋_GBK" w:hAnsi="Times New Roman" w:cs="宋体" w:hint="eastAsia"/>
          <w:sz w:val="32"/>
          <w:szCs w:val="32"/>
        </w:rPr>
        <w:t>亿元、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316.4</w:t>
      </w:r>
      <w:r>
        <w:rPr>
          <w:rFonts w:ascii="Times New Roman" w:eastAsia="方正仿宋_GBK" w:hAnsi="Times New Roman" w:cs="宋体" w:hint="eastAsia"/>
          <w:sz w:val="32"/>
          <w:szCs w:val="32"/>
        </w:rPr>
        <w:t>亿元，而同期北京为</w:t>
      </w:r>
      <w:r>
        <w:rPr>
          <w:rFonts w:ascii="Times New Roman" w:eastAsia="方正仿宋_GBK" w:hAnsi="Times New Roman" w:cs="宋体" w:hint="eastAsia"/>
          <w:sz w:val="32"/>
          <w:szCs w:val="32"/>
        </w:rPr>
        <w:t>1089</w:t>
      </w:r>
      <w:r>
        <w:rPr>
          <w:rFonts w:ascii="Times New Roman" w:eastAsia="方正仿宋_GBK" w:hAnsi="Times New Roman" w:cs="宋体" w:hint="eastAsia"/>
          <w:sz w:val="32"/>
          <w:szCs w:val="32"/>
        </w:rPr>
        <w:t>亿元、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635.6</w:t>
      </w:r>
      <w:r>
        <w:rPr>
          <w:rFonts w:ascii="Times New Roman" w:eastAsia="方正仿宋_GBK" w:hAnsi="Times New Roman" w:cs="宋体" w:hint="eastAsia"/>
          <w:sz w:val="32"/>
          <w:szCs w:val="32"/>
        </w:rPr>
        <w:t>亿元，人均财政投入仅为北京的</w:t>
      </w:r>
      <w:r>
        <w:rPr>
          <w:rFonts w:ascii="Times New Roman" w:eastAsia="方正仿宋_GBK" w:hAnsi="Times New Roman" w:cs="宋体" w:hint="eastAsia"/>
          <w:sz w:val="32"/>
          <w:szCs w:val="32"/>
        </w:rPr>
        <w:t>8.6%</w:t>
      </w:r>
      <w:r>
        <w:rPr>
          <w:rFonts w:ascii="Times New Roman" w:eastAsia="方正仿宋_GBK" w:hAnsi="Times New Roman" w:cs="宋体" w:hint="eastAsia"/>
          <w:sz w:val="32"/>
          <w:szCs w:val="32"/>
        </w:rPr>
        <w:t>、</w:t>
      </w:r>
      <w:r>
        <w:rPr>
          <w:rFonts w:ascii="Times New Roman" w:eastAsia="方正仿宋_GBK" w:hAnsi="Times New Roman" w:cs="宋体" w:hint="eastAsia"/>
          <w:sz w:val="32"/>
          <w:szCs w:val="32"/>
        </w:rPr>
        <w:t>14.3%</w:t>
      </w:r>
      <w:r>
        <w:rPr>
          <w:rFonts w:ascii="Times New Roman" w:eastAsia="方正仿宋_GBK" w:hAnsi="Times New Roman" w:cs="宋体" w:hint="eastAsia"/>
          <w:sz w:val="32"/>
          <w:szCs w:val="32"/>
        </w:rPr>
        <w:t>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二是基本公共服务指标方面。在保基本兜底线的基本公共服务指标中，除国家有统一标准和反映覆盖水平的指标外，其</w:t>
      </w:r>
      <w:r>
        <w:rPr>
          <w:rFonts w:ascii="Times New Roman" w:eastAsia="方正仿宋_GBK" w:hAnsi="Times New Roman" w:cs="宋体" w:hint="eastAsia"/>
          <w:sz w:val="32"/>
          <w:szCs w:val="32"/>
        </w:rPr>
        <w:lastRenderedPageBreak/>
        <w:t>他指标差距较大。例如，河北省普通小学年生均公用经费分别比京津低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965</w:t>
      </w:r>
      <w:r>
        <w:rPr>
          <w:rFonts w:ascii="Times New Roman" w:eastAsia="方正仿宋_GBK" w:hAnsi="Times New Roman" w:cs="宋体" w:hint="eastAsia"/>
          <w:sz w:val="32"/>
          <w:szCs w:val="32"/>
        </w:rPr>
        <w:t>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615</w:t>
      </w:r>
      <w:r>
        <w:rPr>
          <w:rFonts w:ascii="Times New Roman" w:eastAsia="方正仿宋_GBK" w:hAnsi="Times New Roman" w:cs="宋体" w:hint="eastAsia"/>
          <w:sz w:val="32"/>
          <w:szCs w:val="32"/>
        </w:rPr>
        <w:t>元，普通初中年生均公用经费分别比京津低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865</w:t>
      </w:r>
      <w:r>
        <w:rPr>
          <w:rFonts w:ascii="Times New Roman" w:eastAsia="方正仿宋_GBK" w:hAnsi="Times New Roman" w:cs="宋体" w:hint="eastAsia"/>
          <w:sz w:val="32"/>
          <w:szCs w:val="32"/>
        </w:rPr>
        <w:t>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565</w:t>
      </w:r>
      <w:r>
        <w:rPr>
          <w:rFonts w:ascii="Times New Roman" w:eastAsia="方正仿宋_GBK" w:hAnsi="Times New Roman" w:cs="宋体" w:hint="eastAsia"/>
          <w:sz w:val="32"/>
          <w:szCs w:val="32"/>
        </w:rPr>
        <w:t>元。河北城乡居民基础养老金每人每月</w:t>
      </w:r>
      <w:r>
        <w:rPr>
          <w:rFonts w:ascii="Times New Roman" w:eastAsia="方正仿宋_GBK" w:hAnsi="Times New Roman" w:cs="宋体" w:hint="eastAsia"/>
          <w:sz w:val="32"/>
          <w:szCs w:val="32"/>
        </w:rPr>
        <w:t>90</w:t>
      </w:r>
      <w:r>
        <w:rPr>
          <w:rFonts w:ascii="Times New Roman" w:eastAsia="方正仿宋_GBK" w:hAnsi="Times New Roman" w:cs="宋体" w:hint="eastAsia"/>
          <w:sz w:val="32"/>
          <w:szCs w:val="32"/>
        </w:rPr>
        <w:t>元，分别比京津低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420</w:t>
      </w:r>
      <w:r>
        <w:rPr>
          <w:rFonts w:ascii="Times New Roman" w:eastAsia="方正仿宋_GBK" w:hAnsi="Times New Roman" w:cs="宋体" w:hint="eastAsia"/>
          <w:sz w:val="32"/>
          <w:szCs w:val="32"/>
        </w:rPr>
        <w:t>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171</w:t>
      </w:r>
      <w:r>
        <w:rPr>
          <w:rFonts w:ascii="Times New Roman" w:eastAsia="方正仿宋_GBK" w:hAnsi="Times New Roman" w:cs="宋体" w:hint="eastAsia"/>
          <w:sz w:val="32"/>
          <w:szCs w:val="32"/>
        </w:rPr>
        <w:t>元。河北农村居民最低生活保障每人每月</w:t>
      </w:r>
      <w:r>
        <w:rPr>
          <w:rFonts w:ascii="Times New Roman" w:eastAsia="方正仿宋_GBK" w:hAnsi="Times New Roman" w:cs="宋体" w:hint="eastAsia"/>
          <w:sz w:val="32"/>
          <w:szCs w:val="32"/>
        </w:rPr>
        <w:t>280</w:t>
      </w:r>
      <w:r>
        <w:rPr>
          <w:rFonts w:ascii="Times New Roman" w:eastAsia="方正仿宋_GBK" w:hAnsi="Times New Roman" w:cs="宋体" w:hint="eastAsia"/>
          <w:sz w:val="32"/>
          <w:szCs w:val="32"/>
        </w:rPr>
        <w:t>元，分别比京津低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520</w:t>
      </w:r>
      <w:r>
        <w:rPr>
          <w:rFonts w:ascii="Times New Roman" w:eastAsia="方正仿宋_GBK" w:hAnsi="Times New Roman" w:cs="宋体" w:hint="eastAsia"/>
          <w:sz w:val="32"/>
          <w:szCs w:val="32"/>
        </w:rPr>
        <w:t>元、</w:t>
      </w:r>
      <w:r>
        <w:rPr>
          <w:rFonts w:ascii="Times New Roman" w:eastAsia="方正仿宋_GBK" w:hAnsi="Times New Roman" w:cs="宋体" w:hint="eastAsia"/>
          <w:sz w:val="32"/>
          <w:szCs w:val="32"/>
        </w:rPr>
        <w:t>475</w:t>
      </w:r>
      <w:r>
        <w:rPr>
          <w:rFonts w:ascii="Times New Roman" w:eastAsia="方正仿宋_GBK" w:hAnsi="Times New Roman" w:cs="宋体" w:hint="eastAsia"/>
          <w:sz w:val="32"/>
          <w:szCs w:val="32"/>
        </w:rPr>
        <w:t>元。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三是优质公共服务</w:t>
      </w:r>
      <w:r>
        <w:rPr>
          <w:rFonts w:ascii="Times New Roman" w:eastAsia="方正仿宋_GBK" w:hAnsi="Times New Roman" w:cs="宋体" w:hint="eastAsia"/>
          <w:sz w:val="32"/>
          <w:szCs w:val="32"/>
        </w:rPr>
        <w:t>方面。人民群众需求度普遍较高的教育、卫生、文化等领域的优质公共服务差距明显。例如，河北省没有“</w:t>
      </w:r>
      <w:r>
        <w:rPr>
          <w:rFonts w:ascii="Times New Roman" w:eastAsia="方正仿宋_GBK" w:hAnsi="Times New Roman" w:cs="宋体" w:hint="eastAsia"/>
          <w:sz w:val="32"/>
          <w:szCs w:val="32"/>
        </w:rPr>
        <w:t>985</w:t>
      </w:r>
      <w:r>
        <w:rPr>
          <w:rFonts w:ascii="Times New Roman" w:eastAsia="方正仿宋_GBK" w:hAnsi="Times New Roman" w:cs="宋体" w:hint="eastAsia"/>
          <w:sz w:val="32"/>
          <w:szCs w:val="32"/>
        </w:rPr>
        <w:t>”工程和“双一流”工程院校（仅有</w:t>
      </w:r>
      <w:r>
        <w:rPr>
          <w:rFonts w:ascii="Times New Roman" w:eastAsia="方正仿宋_GBK" w:hAnsi="Times New Roman" w:cs="宋体" w:hint="eastAsia"/>
          <w:sz w:val="32"/>
          <w:szCs w:val="32"/>
        </w:rPr>
        <w:t>1</w:t>
      </w:r>
      <w:r>
        <w:rPr>
          <w:rFonts w:ascii="Times New Roman" w:eastAsia="方正仿宋_GBK" w:hAnsi="Times New Roman" w:cs="宋体" w:hint="eastAsia"/>
          <w:sz w:val="32"/>
          <w:szCs w:val="32"/>
        </w:rPr>
        <w:t>个一流学科），且仅有的一所“</w:t>
      </w:r>
      <w:r>
        <w:rPr>
          <w:rFonts w:ascii="Times New Roman" w:eastAsia="方正仿宋_GBK" w:hAnsi="Times New Roman" w:cs="宋体" w:hint="eastAsia"/>
          <w:sz w:val="32"/>
          <w:szCs w:val="32"/>
        </w:rPr>
        <w:t>211</w:t>
      </w:r>
      <w:r>
        <w:rPr>
          <w:rFonts w:ascii="Times New Roman" w:eastAsia="方正仿宋_GBK" w:hAnsi="Times New Roman" w:cs="宋体" w:hint="eastAsia"/>
          <w:sz w:val="32"/>
          <w:szCs w:val="32"/>
        </w:rPr>
        <w:t>”高校还在天津；高考本科录取率分别比京津低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12%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19%</w:t>
      </w:r>
      <w:r>
        <w:rPr>
          <w:rFonts w:ascii="Times New Roman" w:eastAsia="方正仿宋_GBK" w:hAnsi="Times New Roman" w:cs="宋体" w:hint="eastAsia"/>
          <w:sz w:val="32"/>
          <w:szCs w:val="32"/>
        </w:rPr>
        <w:t>；每千人拥有三甲医院的数量分别比京津低</w:t>
      </w:r>
      <w:r>
        <w:rPr>
          <w:rFonts w:ascii="Times New Roman" w:eastAsia="方正仿宋_GBK" w:hAnsi="Times New Roman" w:cs="宋体" w:hint="eastAsia"/>
          <w:sz w:val="32"/>
          <w:szCs w:val="32"/>
        </w:rPr>
        <w:t>73.9%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70%</w:t>
      </w:r>
      <w:r>
        <w:rPr>
          <w:rFonts w:ascii="Times New Roman" w:eastAsia="方正仿宋_GBK" w:hAnsi="Times New Roman" w:cs="宋体" w:hint="eastAsia"/>
          <w:sz w:val="32"/>
          <w:szCs w:val="32"/>
        </w:rPr>
        <w:t>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京津冀三地在基本公共服务领域存在较大差距的原因，主要有以下几点：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一是三地经济发展不平衡。河北经济发展水平低于京津，人均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GDP</w:t>
      </w:r>
      <w:r>
        <w:rPr>
          <w:rFonts w:ascii="Times New Roman" w:eastAsia="方正仿宋_GBK" w:hAnsi="Times New Roman" w:cs="宋体" w:hint="eastAsia"/>
          <w:sz w:val="32"/>
          <w:szCs w:val="32"/>
        </w:rPr>
        <w:t>仅为京津的</w:t>
      </w:r>
      <w:r>
        <w:rPr>
          <w:rFonts w:ascii="Times New Roman" w:eastAsia="方正仿宋_GBK" w:hAnsi="Times New Roman" w:cs="宋体" w:hint="eastAsia"/>
          <w:sz w:val="32"/>
          <w:szCs w:val="32"/>
        </w:rPr>
        <w:t>37.1%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37.2%</w:t>
      </w:r>
      <w:r>
        <w:rPr>
          <w:rFonts w:ascii="Times New Roman" w:eastAsia="方正仿宋_GBK" w:hAnsi="Times New Roman" w:cs="宋体" w:hint="eastAsia"/>
          <w:sz w:val="32"/>
          <w:szCs w:val="32"/>
        </w:rPr>
        <w:t>，居民人均可支配收入仅为京津的</w:t>
      </w:r>
      <w:r>
        <w:rPr>
          <w:rFonts w:ascii="Times New Roman" w:eastAsia="方正仿宋_GBK" w:hAnsi="Times New Roman" w:cs="宋体" w:hint="eastAsia"/>
          <w:sz w:val="32"/>
          <w:szCs w:val="32"/>
        </w:rPr>
        <w:t xml:space="preserve"> 37.4%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57.9%</w:t>
      </w:r>
      <w:r>
        <w:rPr>
          <w:rFonts w:ascii="Times New Roman" w:eastAsia="方正仿宋_GBK" w:hAnsi="Times New Roman" w:cs="宋体" w:hint="eastAsia"/>
          <w:sz w:val="32"/>
          <w:szCs w:val="32"/>
        </w:rPr>
        <w:t>，人均财政收入</w:t>
      </w:r>
      <w:r>
        <w:rPr>
          <w:rFonts w:ascii="Times New Roman" w:eastAsia="方正仿宋_GBK" w:hAnsi="Times New Roman" w:cs="宋体" w:hint="eastAsia"/>
          <w:sz w:val="32"/>
          <w:szCs w:val="32"/>
        </w:rPr>
        <w:t>仅为京津的</w:t>
      </w:r>
      <w:r>
        <w:rPr>
          <w:rFonts w:ascii="Times New Roman" w:eastAsia="方正仿宋_GBK" w:hAnsi="Times New Roman" w:cs="宋体" w:hint="eastAsia"/>
          <w:sz w:val="32"/>
          <w:szCs w:val="32"/>
        </w:rPr>
        <w:t>16.7%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20%</w:t>
      </w:r>
      <w:r>
        <w:rPr>
          <w:rFonts w:ascii="Times New Roman" w:eastAsia="方正仿宋_GBK" w:hAnsi="Times New Roman" w:cs="宋体" w:hint="eastAsia"/>
          <w:sz w:val="32"/>
          <w:szCs w:val="32"/>
        </w:rPr>
        <w:t>，人均一般公共预算支出仅为京津的</w:t>
      </w:r>
      <w:r>
        <w:rPr>
          <w:rFonts w:ascii="Times New Roman" w:eastAsia="方正仿宋_GBK" w:hAnsi="Times New Roman" w:cs="宋体" w:hint="eastAsia"/>
          <w:sz w:val="32"/>
          <w:szCs w:val="32"/>
        </w:rPr>
        <w:t>28.7%</w:t>
      </w:r>
      <w:r>
        <w:rPr>
          <w:rFonts w:ascii="Times New Roman" w:eastAsia="方正仿宋_GBK" w:hAnsi="Times New Roman" w:cs="宋体" w:hint="eastAsia"/>
          <w:sz w:val="32"/>
          <w:szCs w:val="32"/>
        </w:rPr>
        <w:t>和</w:t>
      </w:r>
      <w:r>
        <w:rPr>
          <w:rFonts w:ascii="Times New Roman" w:eastAsia="方正仿宋_GBK" w:hAnsi="Times New Roman" w:cs="宋体" w:hint="eastAsia"/>
          <w:sz w:val="32"/>
          <w:szCs w:val="32"/>
        </w:rPr>
        <w:t>36.3%</w:t>
      </w:r>
      <w:r>
        <w:rPr>
          <w:rFonts w:ascii="Times New Roman" w:eastAsia="方正仿宋_GBK" w:hAnsi="Times New Roman" w:cs="宋体" w:hint="eastAsia"/>
          <w:sz w:val="32"/>
          <w:szCs w:val="32"/>
        </w:rPr>
        <w:t>，省内</w:t>
      </w:r>
      <w:r>
        <w:rPr>
          <w:rFonts w:ascii="Times New Roman" w:eastAsia="方正仿宋_GBK" w:hAnsi="Times New Roman" w:cs="宋体" w:hint="eastAsia"/>
          <w:sz w:val="32"/>
          <w:szCs w:val="32"/>
        </w:rPr>
        <w:t>62</w:t>
      </w:r>
      <w:r>
        <w:rPr>
          <w:rFonts w:ascii="Times New Roman" w:eastAsia="方正仿宋_GBK" w:hAnsi="Times New Roman" w:cs="宋体" w:hint="eastAsia"/>
          <w:sz w:val="32"/>
          <w:szCs w:val="32"/>
        </w:rPr>
        <w:t>个扶贫开发重点县的财政收入和人均财力更是处于较低水平。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二是基本公共服务均等化成本高。河北省地域面积分别是京津的</w:t>
      </w:r>
      <w:r>
        <w:rPr>
          <w:rFonts w:ascii="Times New Roman" w:eastAsia="方正仿宋_GBK" w:hAnsi="Times New Roman" w:cs="宋体" w:hint="eastAsia"/>
          <w:sz w:val="32"/>
          <w:szCs w:val="32"/>
        </w:rPr>
        <w:t>11.5</w:t>
      </w:r>
      <w:r>
        <w:rPr>
          <w:rFonts w:ascii="Times New Roman" w:eastAsia="方正仿宋_GBK" w:hAnsi="Times New Roman" w:cs="宋体" w:hint="eastAsia"/>
          <w:sz w:val="32"/>
          <w:szCs w:val="32"/>
        </w:rPr>
        <w:t>倍和</w:t>
      </w:r>
      <w:r>
        <w:rPr>
          <w:rFonts w:ascii="Times New Roman" w:eastAsia="方正仿宋_GBK" w:hAnsi="Times New Roman" w:cs="宋体" w:hint="eastAsia"/>
          <w:sz w:val="32"/>
          <w:szCs w:val="32"/>
        </w:rPr>
        <w:t>15.9</w:t>
      </w:r>
      <w:r>
        <w:rPr>
          <w:rFonts w:ascii="Times New Roman" w:eastAsia="方正仿宋_GBK" w:hAnsi="Times New Roman" w:cs="宋体" w:hint="eastAsia"/>
          <w:sz w:val="32"/>
          <w:szCs w:val="32"/>
        </w:rPr>
        <w:t>倍，城镇化率只有</w:t>
      </w:r>
      <w:r>
        <w:rPr>
          <w:rFonts w:ascii="Times New Roman" w:eastAsia="方正仿宋_GBK" w:hAnsi="Times New Roman" w:cs="宋体" w:hint="eastAsia"/>
          <w:sz w:val="32"/>
          <w:szCs w:val="32"/>
        </w:rPr>
        <w:t>53.3%</w:t>
      </w:r>
      <w:r>
        <w:rPr>
          <w:rFonts w:ascii="Times New Roman" w:eastAsia="方正仿宋_GBK" w:hAnsi="Times New Roman" w:cs="宋体" w:hint="eastAsia"/>
          <w:sz w:val="32"/>
          <w:szCs w:val="32"/>
        </w:rPr>
        <w:t>，公共服务供给分散，使得公共服务供给成本高，提升公共服务水平需要更多投入。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lastRenderedPageBreak/>
        <w:t>三是京津“虹吸效应”明显。京津地区居民收入水平高，拥有大量高等院校、三甲医院、文化体育设施等优质公共服务资源，对周边地区的“虹吸效应”明显，导致河北大量高层次人才向京津聚集，公共服务水平</w:t>
      </w:r>
      <w:r>
        <w:rPr>
          <w:rFonts w:ascii="Times New Roman" w:eastAsia="方正仿宋_GBK" w:hAnsi="Times New Roman" w:cs="宋体" w:hint="eastAsia"/>
          <w:sz w:val="32"/>
          <w:szCs w:val="32"/>
        </w:rPr>
        <w:t>提升缺乏人才支撑。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四是政策衔接不够。京津冀三地的制度体系和相关政策存在较大落差，河北与京津之间、河北省内各地市之间的信息系统和标准不一，尚未建立互联互通、对接共享的信息化平台，转移过程中难以顺畅对接，区域之间要素流通不畅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为此，建议：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一是规划先行，统筹协调。以“普惠性、均等化、可持续”为原则，开展公共服务政策相关研究，尽快出台京津冀基本公共服务一体化规划，统筹规划京津冀区域内社会事业和公共服务资源、研究制定实施统一的设施配置、建设及服务标准，推进优质公共服务资源共建共享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二是加大公共服务领域财政投入。加大对河北财政转移支付力度，确保基本公共服务财政支出稳步增长，新增财力优先向公共服务重点区域和薄弱环节倾斜。京津采用定向援助、对口支援、对口帮扶等多种形式，支持河北省落后地区发展基本公共服务。搭建投融资平台，鼓励和支持社会投资进入公共服务领域。</w:t>
      </w:r>
    </w:p>
    <w:p w:rsidR="00161EF7" w:rsidRDefault="001B5CAF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三是加大京津优质公共服务资源向河北转移的力度。结合北京非首都功能转移，加强雄安新区与京津公共服务领域全方</w:t>
      </w:r>
      <w:r>
        <w:rPr>
          <w:rFonts w:ascii="Times New Roman" w:eastAsia="方正仿宋_GBK" w:hAnsi="Times New Roman" w:cs="宋体" w:hint="eastAsia"/>
          <w:sz w:val="32"/>
          <w:szCs w:val="32"/>
        </w:rPr>
        <w:lastRenderedPageBreak/>
        <w:t>位深度合作，将京津优质教育、医疗、卫生、养老机构等优先向雄安新区及河北省其他地区转移、建立分支机构或整体搬迁。鼓励河北省与京津交界的</w:t>
      </w:r>
      <w:r>
        <w:rPr>
          <w:rFonts w:ascii="Times New Roman" w:eastAsia="方正仿宋_GBK" w:hAnsi="Times New Roman" w:cs="宋体" w:hint="eastAsia"/>
          <w:sz w:val="32"/>
          <w:szCs w:val="32"/>
        </w:rPr>
        <w:t>三河、大厂、香河、固安、永清、广阳、涿州等</w:t>
      </w:r>
      <w:r>
        <w:rPr>
          <w:rFonts w:ascii="Times New Roman" w:eastAsia="方正仿宋_GBK" w:hAnsi="Times New Roman" w:cs="宋体" w:hint="eastAsia"/>
          <w:sz w:val="32"/>
          <w:szCs w:val="32"/>
        </w:rPr>
        <w:t>7</w:t>
      </w:r>
      <w:r>
        <w:rPr>
          <w:rFonts w:ascii="Times New Roman" w:eastAsia="方正仿宋_GBK" w:hAnsi="Times New Roman" w:cs="宋体" w:hint="eastAsia"/>
          <w:sz w:val="32"/>
          <w:szCs w:val="32"/>
        </w:rPr>
        <w:t>县（市区）高标准对标京津、加强交界地区养老机构建设，协调北京养老政策外延；推动医疗机构优先纳入跨省异地就医直接结算平台，提高医保管理服务水平。</w:t>
      </w:r>
    </w:p>
    <w:p w:rsidR="00161EF7" w:rsidRDefault="00161EF7">
      <w:pPr>
        <w:spacing w:line="560" w:lineRule="exact"/>
        <w:ind w:firstLineChars="200" w:firstLine="640"/>
        <w:rPr>
          <w:rFonts w:ascii="Times New Roman" w:eastAsia="方正仿宋_GBK" w:hAnsi="Times New Roman" w:cs="宋体"/>
          <w:sz w:val="32"/>
          <w:szCs w:val="32"/>
        </w:rPr>
      </w:pPr>
    </w:p>
    <w:p w:rsidR="00161EF7" w:rsidRDefault="001B5CAF">
      <w:pPr>
        <w:spacing w:line="560" w:lineRule="exact"/>
        <w:ind w:firstLineChars="200" w:firstLine="640"/>
        <w:rPr>
          <w:rFonts w:hint="eastAsia"/>
        </w:rPr>
      </w:pPr>
      <w:r>
        <w:rPr>
          <w:rFonts w:ascii="Times New Roman" w:eastAsia="方正仿宋_GBK" w:hAnsi="Times New Roman" w:cs="宋体" w:hint="eastAsia"/>
          <w:sz w:val="32"/>
          <w:szCs w:val="32"/>
        </w:rPr>
        <w:t>备注：提案范例选自《把握人民的意愿—政协第十三届全国委员会提案及办理复文选》（</w:t>
      </w:r>
      <w:r>
        <w:rPr>
          <w:rFonts w:ascii="Times New Roman" w:eastAsia="方正仿宋_GBK" w:hAnsi="Times New Roman" w:cs="宋体" w:hint="eastAsia"/>
          <w:sz w:val="32"/>
          <w:szCs w:val="32"/>
        </w:rPr>
        <w:t>2019</w:t>
      </w:r>
      <w:r>
        <w:rPr>
          <w:rFonts w:ascii="Times New Roman" w:eastAsia="方正仿宋_GBK" w:hAnsi="Times New Roman" w:cs="宋体" w:hint="eastAsia"/>
          <w:sz w:val="32"/>
          <w:szCs w:val="32"/>
        </w:rPr>
        <w:t>年卷，中国文史出版社）</w:t>
      </w:r>
    </w:p>
    <w:sectPr w:rsidR="00161EF7">
      <w:footerReference w:type="default" r:id="rId7"/>
      <w:pgSz w:w="11906" w:h="16838"/>
      <w:pgMar w:top="221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AF" w:rsidRDefault="001B5CAF">
      <w:r>
        <w:separator/>
      </w:r>
    </w:p>
  </w:endnote>
  <w:endnote w:type="continuationSeparator" w:id="0">
    <w:p w:rsidR="001B5CAF" w:rsidRDefault="001B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1" w:subsetted="1" w:fontKey="{995B5244-7A82-4CA9-8A3B-8FA7B4367FD8}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A7F6097E-55B5-4106-91A4-E8EBB353E871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3" w:subsetted="1" w:fontKey="{D7678D9A-7F75-420D-A3CE-C3D72093B06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F7" w:rsidRDefault="001B5C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EF7" w:rsidRDefault="001B5CAF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1B0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161EF7" w:rsidRDefault="001B5CAF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71B0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AF" w:rsidRDefault="001B5CAF">
      <w:r>
        <w:separator/>
      </w:r>
    </w:p>
  </w:footnote>
  <w:footnote w:type="continuationSeparator" w:id="0">
    <w:p w:rsidR="001B5CAF" w:rsidRDefault="001B5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9F69DD"/>
    <w:rsid w:val="000521CC"/>
    <w:rsid w:val="000E24A0"/>
    <w:rsid w:val="001332D3"/>
    <w:rsid w:val="00161EF7"/>
    <w:rsid w:val="001B5CAF"/>
    <w:rsid w:val="001C4B13"/>
    <w:rsid w:val="002163F2"/>
    <w:rsid w:val="00280E12"/>
    <w:rsid w:val="003314B3"/>
    <w:rsid w:val="00355C26"/>
    <w:rsid w:val="004240F6"/>
    <w:rsid w:val="00471B07"/>
    <w:rsid w:val="006227A2"/>
    <w:rsid w:val="006629CF"/>
    <w:rsid w:val="0068358C"/>
    <w:rsid w:val="006E554E"/>
    <w:rsid w:val="0081441D"/>
    <w:rsid w:val="009F69DD"/>
    <w:rsid w:val="00B724E9"/>
    <w:rsid w:val="00D57EDA"/>
    <w:rsid w:val="00E44139"/>
    <w:rsid w:val="00F21C89"/>
    <w:rsid w:val="00F7492B"/>
    <w:rsid w:val="00F80132"/>
    <w:rsid w:val="00FF0068"/>
    <w:rsid w:val="1C2362A8"/>
    <w:rsid w:val="28543E97"/>
    <w:rsid w:val="2AD215C5"/>
    <w:rsid w:val="3E66202D"/>
    <w:rsid w:val="55DE7E43"/>
    <w:rsid w:val="57F26667"/>
    <w:rsid w:val="59917D41"/>
    <w:rsid w:val="61BB2D17"/>
    <w:rsid w:val="645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2A1787-595D-490F-9453-C0B9E98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560" w:lineRule="exact"/>
      <w:jc w:val="center"/>
      <w:textAlignment w:val="baseline"/>
    </w:pPr>
    <w:rPr>
      <w:rFonts w:eastAsia="华文中宋"/>
      <w:spacing w:val="6"/>
      <w:kern w:val="32"/>
      <w:sz w:val="44"/>
    </w:rPr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next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link w:val="Char3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rFonts w:eastAsia="仿宋_GB2312"/>
      <w:sz w:val="32"/>
      <w:szCs w:val="20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0"/>
    <w:link w:val="2"/>
    <w:qFormat/>
    <w:rPr>
      <w:rFonts w:ascii="Calibri" w:eastAsia="仿宋_GB2312" w:hAnsi="Calibri" w:cs="Times New Roman"/>
      <w:sz w:val="32"/>
      <w:szCs w:val="20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-1">
    <w:name w:val="正文-公1"/>
    <w:next w:val="a7"/>
    <w:qFormat/>
    <w:pPr>
      <w:widowControl w:val="0"/>
      <w:ind w:firstLineChars="200" w:firstLine="200"/>
      <w:jc w:val="both"/>
    </w:pPr>
    <w:rPr>
      <w:rFonts w:ascii="Calibri" w:eastAsia="仿宋_GB2312" w:hAnsi="Calibri"/>
      <w:color w:val="000000"/>
      <w:kern w:val="2"/>
      <w:sz w:val="21"/>
      <w:szCs w:val="2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正文首行缩进 Char"/>
    <w:basedOn w:val="Char"/>
    <w:link w:val="a8"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健铭</dc:creator>
  <cp:lastModifiedBy>fr</cp:lastModifiedBy>
  <cp:revision>2</cp:revision>
  <dcterms:created xsi:type="dcterms:W3CDTF">2022-10-09T08:06:00Z</dcterms:created>
  <dcterms:modified xsi:type="dcterms:W3CDTF">2022-10-09T08:06:00Z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90EE056114FC432386EE11A5DE0A64B7</vt:lpwstr>
  </property>
</Properties>
</file>