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78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numPr>
          <w:ilvl w:val="0"/>
          <w:numId w:val="0"/>
        </w:numPr>
        <w:spacing w:line="360" w:lineRule="auto"/>
        <w:ind w:left="700" w:leftChars="0"/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遴选评审标准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本项目是在“公平、公开、公正”原则上，面向全社会进行的公开遴选。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文件合格性审查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小组对所有遴选文件进行合格性审查，审查合格的遴选文件才可进入后续评分及其他评审，审查不合格的遴选文件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为无效遴选文件，响应单位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不得进入后续评审。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遴选文件审查项目包括：1.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响应单位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的合格性；2.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文件的完整性；3.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文件是否为有效签署；4.对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遴选项目需求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的响应情况；5.经营范围是否符合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遴选项目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二、评分组成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商务技术评分+价格分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方法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(一)商务技术评分：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商务技术评分主要依据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评分细则的评分内容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，由各评委独立打分，再根据各评委的评分结果的加权算术平均值，即得出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响应单位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的商务技术分值。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（二）价格分：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价格评分原则：通过初审且评审合格的方可作为有效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响应单位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进入价格评分，各有效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响应单位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管理费遴选报价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价中，取最高者作为基准价。各有效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响应单位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的价格评分统一按照下列公式计算：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价格评分＝（报价/最高价）×价格权重分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（三）总分：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响应单位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的总分＝商务技术分＋价格分，满分为100分。评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小组将根据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响应单位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的最终得分，推荐得分最高为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成交经营服务商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，得分第二的响应单位为备选单位。如出现最高分同分现象（即有两家或两家以上的响应单位取得相同分数），则报价高者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成交经营服务商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；若报价仍相同，由评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小组通过投票确定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成交经营服务商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四、评分细则</w:t>
      </w:r>
    </w:p>
    <w:tbl>
      <w:tblPr>
        <w:tblStyle w:val="5"/>
        <w:tblW w:w="5165" w:type="pct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511"/>
        <w:gridCol w:w="922"/>
        <w:gridCol w:w="1357"/>
        <w:gridCol w:w="854"/>
        <w:gridCol w:w="5246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18" w:hRule="atLeast"/>
          <w:jc w:val="center"/>
        </w:trPr>
        <w:tc>
          <w:tcPr>
            <w:tcW w:w="287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519" w:type="pct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762" w:type="pct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评审内容</w:t>
            </w:r>
          </w:p>
        </w:tc>
        <w:tc>
          <w:tcPr>
            <w:tcW w:w="480" w:type="pct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单项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权重</w:t>
            </w:r>
          </w:p>
        </w:tc>
        <w:tc>
          <w:tcPr>
            <w:tcW w:w="2950" w:type="pct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评分范围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3253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商务技术评分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经营服务商实力和经营经验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.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经营管理经验3分，经营同行业的时间超过5年（含5年）者，得3分；超过3年（含3年）者，得2分；超过2年者，得1分；不足2年者得0分。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.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经验管理业绩3分，现经营同类型店面超过3间（含3间）以上，且为连锁经营的，得3分；有2间（含2间）以上，且为连锁经营的，得2分；1间经营门店得1分。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.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企业荣誉3分,获得广州市级（或以上）同类型企业荣誉证书3份（含 3份）以上者，得3分；获得2份者得2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分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；获得1份者得1分；无获得者得0分。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1776" w:hRule="atLeast"/>
          <w:jc w:val="center"/>
        </w:trPr>
        <w:tc>
          <w:tcPr>
            <w:tcW w:w="287" w:type="pct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经营服务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方案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综合评审经营服务方案，包括服务内容、服务流程、卫生安全保障措施、空间布局特色经营服务等。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1.店面营业服务时间（1-3分）；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2.持续投入承诺（1-3分）；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3.安全保障措施：食品安全、消防安全（1-3分）；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4.空间布局美观合理（1-3分）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1185" w:hRule="atLeast"/>
          <w:jc w:val="center"/>
        </w:trPr>
        <w:tc>
          <w:tcPr>
            <w:tcW w:w="287" w:type="pct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商品种类及定价方案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cs="Courier New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综合评审经营种类、商品品质和商品价格等。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响应单位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产品种类、服务内容范围（1-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分）；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2.产品和服务定价方案（1-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分）。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644" w:hRule="atLeast"/>
          <w:jc w:val="center"/>
        </w:trPr>
        <w:tc>
          <w:tcPr>
            <w:tcW w:w="287" w:type="pct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主管人员配备及其他人员配置情况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承诺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拟投入本项目的人员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根据投入数量和人员管理经验等进行综合比较评分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优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得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良得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分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一般得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分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1055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应急事项管理措施及保险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Hans"/>
              </w:rPr>
              <w:t>购买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1.涉及卫生、消防、安全等方面工作及风险应急预案情况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 xml:space="preserve">，应急预案详细完整，合理性全面，得 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 xml:space="preserve"> 分；应急预案相</w:t>
            </w:r>
          </w:p>
          <w:p>
            <w:pPr>
              <w:widowControl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对完整，合理性存在不足，得 2 分；应急预案完整性较差，合理性不足，得 1 分；未提供应急预案不得分；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2.承诺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成为</w:t>
            </w:r>
            <w:r>
              <w:rPr>
                <w:rFonts w:hint="default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成交经营服务商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后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办理商业综合责任保险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雇主责任保险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消防安全责任保险。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每办理一种保险等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1分，最高为3分，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不办理不得分，承诺函格式自定。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1055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ourier New" w:hAnsi="Courier New" w:cs="Courier New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ourier New" w:hAnsi="Courier New" w:cs="Courier New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学校活动支持及服务方案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cs="Courier New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ourier New" w:hAnsi="Courier New" w:cs="Courier New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学校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大型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活动支持、增值服务方案（1-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1055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ourier New" w:hAnsi="Courier New" w:cs="Courier New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Courier New" w:hAnsi="Courier New" w:cs="Courier New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经营管理的整体设想及策划进行陈述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cs="Courier New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根据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响应单位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所拟定的服务方案，对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响应单位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针经营管理的整体设想、策划、方案等进行综合分析、比较评分。</w:t>
            </w:r>
          </w:p>
          <w:p>
            <w:pPr>
              <w:widowControl/>
              <w:rPr>
                <w:rFonts w:hint="eastAsia" w:ascii="Courier New" w:hAnsi="Courier New" w:cs="Courier New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1055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519" w:type="pct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Courier New" w:hAnsi="Courier New" w:cs="Courier New"/>
                <w:b/>
                <w:bCs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762" w:type="pct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管理费报价</w:t>
            </w:r>
          </w:p>
        </w:tc>
        <w:tc>
          <w:tcPr>
            <w:tcW w:w="480" w:type="pct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cs="Courier New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通过初审且评审合格的方可作为有效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响应单位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进入价格评分，各有效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响应单位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管理费遴选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价中，取最高者作为基准价。各有效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响应单位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的价格评分统一按照下列公式计算：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价格评分＝（报价/最高价）×价格权重分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jc w:val="center"/>
        </w:trPr>
        <w:tc>
          <w:tcPr>
            <w:tcW w:w="1569" w:type="pct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480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  <w:tc>
          <w:tcPr>
            <w:tcW w:w="2950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b/>
                <w:szCs w:val="21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、遴选评分表</w:t>
      </w:r>
    </w:p>
    <w:tbl>
      <w:tblPr>
        <w:tblStyle w:val="5"/>
        <w:tblW w:w="92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2514"/>
        <w:gridCol w:w="3906"/>
        <w:gridCol w:w="1410"/>
        <w:gridCol w:w="751"/>
      </w:tblGrid>
      <w:tr>
        <w:trPr>
          <w:trHeight w:val="48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评审项目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单项权重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rPr>
          <w:trHeight w:val="488" w:hRule="atLeas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实力和经营经验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经营管理经验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经验管理业绩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企业荣誉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经营服务方案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营业时间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投入承诺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安全保障措施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空间布局美观合理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商品种类及定价方案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产品种类、服务内容范围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产品和服务定价方案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人员配备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主管人员配备及其他人员配置情况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应急事项管理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应急预案情况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保险承诺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学校活动支持及服务方案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活动支持、增值服务方案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经营实施方案项目陈述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经营管理的整体设想及策划、方案等进行综合分析、比较评分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价格评分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管理费报价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71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360"/>
        </w:tabs>
        <w:spacing w:line="360" w:lineRule="auto"/>
        <w:rPr>
          <w:rFonts w:hint="eastAsia"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360"/>
        </w:tabs>
        <w:spacing w:line="360" w:lineRule="auto"/>
        <w:rPr>
          <w:rFonts w:ascii="仿宋" w:hAnsi="仿宋" w:eastAsia="仿宋" w:cs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评委签名：                                日期：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altName w:val="汉仪书宋二KW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2Y5NjM4NzM3MTljZjBiNmQ2ZWM1OTI4MzIzMmQifQ=="/>
  </w:docVars>
  <w:rsids>
    <w:rsidRoot w:val="E99F8158"/>
    <w:rsid w:val="053B60FD"/>
    <w:rsid w:val="08C276F9"/>
    <w:rsid w:val="28E33CA5"/>
    <w:rsid w:val="2E3507E9"/>
    <w:rsid w:val="33DE722D"/>
    <w:rsid w:val="3C522626"/>
    <w:rsid w:val="428629E8"/>
    <w:rsid w:val="478A31F9"/>
    <w:rsid w:val="4EBE3E70"/>
    <w:rsid w:val="555C152E"/>
    <w:rsid w:val="56C444D2"/>
    <w:rsid w:val="5801011E"/>
    <w:rsid w:val="67EC080C"/>
    <w:rsid w:val="699A7603"/>
    <w:rsid w:val="69EF7C0A"/>
    <w:rsid w:val="6C5A7AD2"/>
    <w:rsid w:val="6C6860E7"/>
    <w:rsid w:val="DD5F554A"/>
    <w:rsid w:val="DF784ECE"/>
    <w:rsid w:val="E99F8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10095</Words>
  <Characters>10348</Characters>
  <Lines>0</Lines>
  <Paragraphs>0</Paragraphs>
  <TotalTime>33</TotalTime>
  <ScaleCrop>false</ScaleCrop>
  <LinksUpToDate>false</LinksUpToDate>
  <CharactersWithSpaces>10891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2023-08-14T10:05:00Z</dcterms:created>
  <dc:creator>ZY</dc:creator>
  <cp:lastModifiedBy>ZY</cp:lastModifiedBy>
  <dcterms:modified xsi:type="dcterms:W3CDTF">2023-09-29T23:39:54Z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DD95D4F6D3AE92B3E2EE16651BE28DAA_43</vt:lpwstr>
  </property>
</Properties>
</file>