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pStyle w:val="PO8"/>
        <w:numPr>
          <w:ilvl w:val="0"/>
          <w:numId w:val="0"/>
        </w:numPr>
        <w:jc w:val="center"/>
        <w:spacing w:lineRule="auto" w:line="300" w:before="260" w:after="260"/>
        <w:ind w:right="0" w:left="0" w:firstLine="0"/>
        <w:rPr>
          <w:b w:val="1"/>
          <w:color w:val="auto"/>
          <w:position w:val="0"/>
          <w:sz w:val="32"/>
          <w:szCs w:val="32"/>
          <w:rFonts w:ascii="Times New Roman" w:eastAsia="Times New Roman" w:hAnsi="Times New Roman" w:hint="default"/>
        </w:rPr>
        <w:outlineLvl w:val="1"/>
        <w:autoSpaceDE w:val="1"/>
        <w:autoSpaceDN w:val="1"/>
      </w:pPr>
      <w:bookmarkStart w:id="1" w:name="_Toc492561510"/>
      <w:r>
        <w:rPr>
          <w:b w:val="1"/>
          <w:color w:val="auto"/>
          <w:position w:val="0"/>
          <w:sz w:val="32"/>
          <w:szCs w:val="32"/>
          <w:rFonts w:ascii="Times New Roman" w:eastAsia="Times New Roman" w:hAnsi="Times New Roman" w:hint="default"/>
        </w:rPr>
        <w:t>通识教育课程学分要求</w:t>
      </w:r>
      <w:bookmarkEnd w:id="1"/>
    </w:p>
    <w:p>
      <w:pPr>
        <w:numPr>
          <w:ilvl w:val="0"/>
          <w:numId w:val="0"/>
        </w:numPr>
        <w:jc w:val="both"/>
        <w:spacing w:lineRule="auto" w:line="360" w:before="0" w:after="0"/>
        <w:ind w:right="0" w:left="0" w:firstLine="472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1.2014级、2015级、2016级通识教育课学分要求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left="0" w:firstLine="4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各学院学生通识教育课学分要求按《华南理工大学关于修订2012级本科综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合培养计划的指导性意见》（华南工教[2011]81号）执行，详见下表（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若学院/专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业对此有所调整，以调整后审批的为准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）：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475" w:type="dxa"/>
        <w:tblLook w:val="0001E0" w:firstRow="1" w:lastRow="1" w:firstColumn="1" w:lastColumn="1" w:noHBand="0" w:noVBand="0"/>
        <w:tblLayout w:type="fixed"/>
      </w:tblPr>
      <w:tblGrid>
        <w:gridCol w:w="511"/>
        <w:gridCol w:w="2360"/>
        <w:gridCol w:w="1470"/>
        <w:gridCol w:w="1581"/>
        <w:gridCol w:w="1512"/>
        <w:gridCol w:w="104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hidden w:val="0"/>
        </w:trPr>
        <w:tc>
          <w:tcPr>
            <w:tcW w:type="dxa" w:w="511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序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号</w:t>
            </w:r>
          </w:p>
        </w:tc>
        <w:tc>
          <w:tcPr>
            <w:tcW w:type="dxa" w:w="2360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学院</w:t>
            </w:r>
          </w:p>
        </w:tc>
        <w:tc>
          <w:tcPr>
            <w:tcW w:type="dxa" w:w="1470"/>
            <w:cnfStyle w:val="100001000000" w:firstRow="1" w:lastRow="0" w:firstColumn="0" w:lastColumn="0" w:oddVBand="0" w:evenVBand="1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人文科学领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域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（学分）</w:t>
            </w:r>
          </w:p>
        </w:tc>
        <w:tc>
          <w:tcPr>
            <w:tcW w:type="dxa" w:w="1581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社会科学领域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（学分）</w:t>
            </w:r>
          </w:p>
        </w:tc>
        <w:tc>
          <w:tcPr>
            <w:tcW w:type="dxa" w:w="1512"/>
            <w:cnfStyle w:val="100001000000" w:firstRow="1" w:lastRow="0" w:firstColumn="0" w:lastColumn="0" w:oddVBand="0" w:evenVBand="1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科学技术领域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（学分）</w:t>
            </w:r>
          </w:p>
        </w:tc>
        <w:tc>
          <w:tcPr>
            <w:tcW w:type="dxa" w:w="1041"/>
            <w:cnfStyle w:val="100100000100" w:firstRow="1" w:lastRow="0" w:firstColumn="0" w:lastColumn="1" w:oddVBand="0" w:evenVBand="0" w:oddHBand="0" w:evenHBand="0" w:firstRowFirstColumn="0" w:firstRowLastColumn="1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合计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（学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分）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</w:t>
            </w:r>
          </w:p>
        </w:tc>
        <w:tc>
          <w:tcPr>
            <w:tcW w:type="dxa" w:w="23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机械与汽车工程学院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建筑学院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3</w:t>
            </w:r>
          </w:p>
        </w:tc>
        <w:tc>
          <w:tcPr>
            <w:tcW w:type="dxa" w:w="23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土木与交通学院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电力学院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5</w:t>
            </w:r>
          </w:p>
        </w:tc>
        <w:tc>
          <w:tcPr>
            <w:tcW w:type="dxa" w:w="23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电子与信息学院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自动化科学与工程学院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7</w:t>
            </w:r>
          </w:p>
        </w:tc>
        <w:tc>
          <w:tcPr>
            <w:tcW w:type="dxa" w:w="23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材料科学与工程学院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8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化学与化工学院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9</w:t>
            </w:r>
          </w:p>
        </w:tc>
        <w:tc>
          <w:tcPr>
            <w:tcW w:type="dxa" w:w="23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轻工科学与工程学院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食品科学与工程学院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11</w:t>
            </w:r>
          </w:p>
        </w:tc>
        <w:tc>
          <w:tcPr>
            <w:tcW w:type="dxa" w:w="23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数学学院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12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物理与光电学院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13</w:t>
            </w:r>
          </w:p>
        </w:tc>
        <w:tc>
          <w:tcPr>
            <w:tcW w:type="dxa" w:w="23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工商管理学院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14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公共管理学院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041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15</w:t>
            </w:r>
          </w:p>
        </w:tc>
        <w:tc>
          <w:tcPr>
            <w:tcW w:type="dxa" w:w="23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外国语学院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12（2）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16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体育学院</w:t>
            </w:r>
          </w:p>
        </w:tc>
        <w:tc>
          <w:tcPr>
            <w:tcW w:type="dxa" w:w="5604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人文科学领域+社会科学领域10学分，科学技术领域4学分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17</w:t>
            </w:r>
          </w:p>
        </w:tc>
        <w:tc>
          <w:tcPr>
            <w:tcW w:type="dxa" w:w="23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计算机科学与工程学院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18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软件学院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19</w:t>
            </w:r>
          </w:p>
        </w:tc>
        <w:tc>
          <w:tcPr>
            <w:tcW w:type="dxa" w:w="23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环境与能源学院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20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生物科学与工程学院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21</w:t>
            </w:r>
          </w:p>
        </w:tc>
        <w:tc>
          <w:tcPr>
            <w:tcW w:type="dxa" w:w="23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新闻与传播学院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22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艺术学院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041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23</w:t>
            </w:r>
          </w:p>
        </w:tc>
        <w:tc>
          <w:tcPr>
            <w:tcW w:type="dxa" w:w="23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法学院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24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设计学院（工业设计）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3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设计学院（艺术设计类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专业）</w:t>
            </w:r>
          </w:p>
        </w:tc>
        <w:tc>
          <w:tcPr>
            <w:tcW w:type="dxa" w:w="14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8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25</w:t>
            </w:r>
          </w:p>
        </w:tc>
        <w:tc>
          <w:tcPr>
            <w:tcW w:type="dxa" w:w="23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经济与贸易学院（物流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工程）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1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3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经济与贸易学院（经管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专业）</w:t>
            </w:r>
          </w:p>
        </w:tc>
        <w:tc>
          <w:tcPr>
            <w:tcW w:type="dxa" w:w="14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type="dxa" w:w="158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041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11000000010" w:firstRow="0" w:lastRow="1" w:firstColumn="1" w:lastColumn="0" w:oddVBand="0" w:evenVBand="0" w:oddHBand="0" w:evenHBand="0" w:firstRowFirstColumn="0" w:firstRowLastColumn="0" w:lastRowFirstColumn="1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26</w:t>
            </w:r>
          </w:p>
        </w:tc>
        <w:tc>
          <w:tcPr>
            <w:tcW w:type="dxa" w:w="2360"/>
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医学院</w:t>
            </w:r>
          </w:p>
        </w:tc>
        <w:tc>
          <w:tcPr>
            <w:tcW w:type="dxa" w:w="5604"/>
            <w:cnfStyle w:val="010100000001" w:firstRow="0" w:lastRow="1" w:firstColumn="0" w:lastColumn="1" w:oddVBand="0" w:evenVBand="0" w:oddHBand="0" w:evenHBand="0" w:firstRowFirstColumn="0" w:firstRowLastColumn="0" w:lastRowFirstColumn="0" w:lastRowLastColumn="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以学院培养计划为准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420"/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备注：1.括号内为所要求至少修读的通识教育核心课程学分，以软件学院为例，学生毕</w:t>
      </w:r>
      <w:r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业至少修读6学分人文科学领域课程（其中至少修读2学分人文科学核心课程）和4学分</w:t>
      </w:r>
      <w:r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社会科学领域课程（其中至少修读2学分社会科学核心课程）；2.学生不能修读本学院的开设</w:t>
      </w:r>
      <w:r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的课程（除在本学院跨学科修读外）；3.经济管理类学生修读的课程不应包含其中的“经济与</w:t>
      </w:r>
      <w:r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管理”课程；4.英语A班、B班和创新班学生在大一上完“大学英语”课程后至少修读2学分通</w:t>
      </w:r>
      <w:r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识类全英教学通识教育课程。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left="0" w:firstLine="472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2. 2017级\2018级通识教育课学分要求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left="0" w:firstLine="4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各学院学生通识教育课学分要求按《华南理工大学关于修订2017级本科综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合培养计划的意见》（（华南工教〔2016〕47号））执行，详见下表（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若学院/专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业对此有所调整，以调整后审批的为准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）：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475" w:type="dxa"/>
        <w:tblLook w:val="0001E0" w:firstRow="1" w:lastRow="1" w:firstColumn="1" w:lastColumn="1" w:noHBand="0" w:noVBand="0"/>
        <w:tblLayout w:type="fixed"/>
      </w:tblPr>
      <w:tblGrid>
        <w:gridCol w:w="511"/>
        <w:gridCol w:w="2359"/>
        <w:gridCol w:w="1470"/>
        <w:gridCol w:w="1581"/>
        <w:gridCol w:w="1512"/>
        <w:gridCol w:w="104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hidden w:val="0"/>
        </w:trPr>
        <w:tc>
          <w:tcPr>
            <w:tcW w:type="dxa" w:w="511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序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号</w:t>
            </w:r>
          </w:p>
        </w:tc>
        <w:tc>
          <w:tcPr>
            <w:tcW w:type="dxa" w:w="2359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学院</w:t>
            </w:r>
          </w:p>
        </w:tc>
        <w:tc>
          <w:tcPr>
            <w:tcW w:type="dxa" w:w="1470"/>
            <w:cnfStyle w:val="100001000000" w:firstRow="1" w:lastRow="0" w:firstColumn="0" w:lastColumn="0" w:oddVBand="0" w:evenVBand="1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人文科学领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域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（学分）</w:t>
            </w:r>
          </w:p>
        </w:tc>
        <w:tc>
          <w:tcPr>
            <w:tcW w:type="dxa" w:w="1581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社会科学领域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（学分）</w:t>
            </w:r>
          </w:p>
        </w:tc>
        <w:tc>
          <w:tcPr>
            <w:tcW w:type="dxa" w:w="1512"/>
            <w:cnfStyle w:val="100001000000" w:firstRow="1" w:lastRow="0" w:firstColumn="0" w:lastColumn="0" w:oddVBand="0" w:evenVBand="1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科学技术领域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（学分）</w:t>
            </w:r>
          </w:p>
        </w:tc>
        <w:tc>
          <w:tcPr>
            <w:tcW w:type="dxa" w:w="1042"/>
            <w:cnfStyle w:val="100100000100" w:firstRow="1" w:lastRow="0" w:firstColumn="0" w:lastColumn="1" w:oddVBand="0" w:evenVBand="0" w:oddHBand="0" w:evenHBand="0" w:firstRowFirstColumn="0" w:firstRowLastColumn="1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合计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（学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分）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</w:t>
            </w:r>
          </w:p>
        </w:tc>
        <w:tc>
          <w:tcPr>
            <w:tcW w:type="dxa" w:w="23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机械与汽车工程学院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建筑学院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3</w:t>
            </w:r>
          </w:p>
        </w:tc>
        <w:tc>
          <w:tcPr>
            <w:tcW w:type="dxa" w:w="23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土木与交通学院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电力学院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5</w:t>
            </w:r>
          </w:p>
        </w:tc>
        <w:tc>
          <w:tcPr>
            <w:tcW w:type="dxa" w:w="23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电子与信息学院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自动化科学与工程学院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7</w:t>
            </w:r>
          </w:p>
        </w:tc>
        <w:tc>
          <w:tcPr>
            <w:tcW w:type="dxa" w:w="23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材料科学与工程学院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8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化学与化工学院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9</w:t>
            </w:r>
          </w:p>
        </w:tc>
        <w:tc>
          <w:tcPr>
            <w:tcW w:type="dxa" w:w="23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轻工科学与工程学院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食品科学与工程学院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11</w:t>
            </w:r>
          </w:p>
        </w:tc>
        <w:tc>
          <w:tcPr>
            <w:tcW w:type="dxa" w:w="23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数学学院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12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物理与光电学院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13</w:t>
            </w:r>
          </w:p>
        </w:tc>
        <w:tc>
          <w:tcPr>
            <w:tcW w:type="dxa" w:w="23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工商管理学院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14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公共管理学院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15</w:t>
            </w:r>
          </w:p>
        </w:tc>
        <w:tc>
          <w:tcPr>
            <w:tcW w:type="dxa" w:w="23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外国语学院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12（2）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16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体育学院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17</w:t>
            </w:r>
          </w:p>
        </w:tc>
        <w:tc>
          <w:tcPr>
            <w:tcW w:type="dxa" w:w="23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计算机科学与工程学院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18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软件学院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19</w:t>
            </w:r>
          </w:p>
        </w:tc>
        <w:tc>
          <w:tcPr>
            <w:tcW w:type="dxa" w:w="23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环境与能源学院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20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生物科学与工程学院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21</w:t>
            </w:r>
          </w:p>
        </w:tc>
        <w:tc>
          <w:tcPr>
            <w:tcW w:type="dxa" w:w="23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新闻与传播学院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22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艺术学院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23</w:t>
            </w:r>
          </w:p>
        </w:tc>
        <w:tc>
          <w:tcPr>
            <w:tcW w:type="dxa" w:w="23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法学院</w:t>
            </w:r>
          </w:p>
        </w:tc>
        <w:tc>
          <w:tcPr>
            <w:tcW w:type="dxa" w:w="14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24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设计学院（工业设计）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35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设计学院（艺术设计类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专业）</w:t>
            </w:r>
          </w:p>
        </w:tc>
        <w:tc>
          <w:tcPr>
            <w:tcW w:type="dxa" w:w="14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8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85" w:type="dxa"/>
              <w:right w:w="85" w:type="dxa"/>
            </w:tcMar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25</w:t>
            </w:r>
          </w:p>
        </w:tc>
        <w:tc>
          <w:tcPr>
            <w:tcW w:type="dxa" w:w="235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经济与贸易学院（物流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工程）</w:t>
            </w:r>
          </w:p>
        </w:tc>
        <w:tc>
          <w:tcPr>
            <w:tcW w:type="dxa" w:w="14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51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35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经济与贸易学院（经管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专业）</w:t>
            </w:r>
          </w:p>
        </w:tc>
        <w:tc>
          <w:tcPr>
            <w:tcW w:type="dxa" w:w="14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type="dxa" w:w="158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5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042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10（2）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511"/>
            <w:cnfStyle w:val="011000000010" w:firstRow="0" w:lastRow="1" w:firstColumn="1" w:lastColumn="0" w:oddVBand="0" w:evenVBand="0" w:oddHBand="0" w:evenHBand="0" w:firstRowFirstColumn="0" w:firstRowLastColumn="0" w:lastRowFirstColumn="1" w:lastRowLastColumn="0"/>
            <w:tcMar>
              <w:left w:w="85" w:type="dxa"/>
              <w:right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26</w:t>
            </w:r>
          </w:p>
        </w:tc>
        <w:tc>
          <w:tcPr>
            <w:tcW w:type="dxa" w:w="2359"/>
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医学院</w:t>
            </w:r>
          </w:p>
        </w:tc>
        <w:tc>
          <w:tcPr>
            <w:tcW w:type="dxa" w:w="1470"/>
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6（2）</w:t>
            </w:r>
          </w:p>
        </w:tc>
        <w:tc>
          <w:tcPr>
            <w:tcW w:type="dxa" w:w="1581"/>
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4（2）</w:t>
            </w:r>
          </w:p>
        </w:tc>
        <w:tc>
          <w:tcPr>
            <w:tcW w:type="dxa" w:w="1512"/>
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0</w:t>
            </w:r>
          </w:p>
        </w:tc>
        <w:tc>
          <w:tcPr>
            <w:tcW w:type="dxa" w:w="1042"/>
            <w:cnfStyle w:val="010100000001" w:firstRow="0" w:lastRow="1" w:firstColumn="0" w:lastColumn="1" w:oddVBand="0" w:evenVBand="0" w:oddHBand="0" w:evenHBand="0" w:firstRowFirstColumn="0" w:firstRowLastColumn="0" w:lastRowFirstColumn="0" w:lastRowLastColumn="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0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10（4）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420"/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备注：1.括号内为所要求至少修读的通识教育核心课程学分，以软件学院为例，学生毕</w:t>
      </w:r>
      <w:r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业至少修读6学分人文科学领域课程（其中至少修读2学分人文科学核心课程）和4学分</w:t>
      </w:r>
      <w:r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社会科学领域课程（其中至少修读2学分社会科学核心课程）；2.学生不能修读本学院的开设</w:t>
      </w:r>
      <w:r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的课程（除在本学院跨学科修读外）；3.经济管理类学生修读的课程不应包含其中的“经济与</w:t>
      </w:r>
      <w:r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管理”课程。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autoSpaceDE w:val="1"/>
        <w:autoSpaceDN w:val="1"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basedOn w:val="PO1"/>
    <w:next w:val="PO1"/>
    <w:link w:val="PO152"/>
    <w:qFormat/>
    <w:uiPriority w:val="8"/>
    <w:pPr>
      <w:autoSpaceDE w:val="1"/>
      <w:autoSpaceDN w:val="1"/>
      <w:keepLines/>
      <w:keepNext/>
      <w:widowControl/>
      <w:wordWrap/>
    </w:pPr>
    <w:rPr>
      <w:rFonts w:ascii="Arial" w:eastAsia="黑体" w:hAnsi="Arial"/>
      <w:b/>
      <w:shd w:val="clear"/>
      <w:sz w:val="32"/>
      <w:szCs w:val="32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152" w:type="character">
    <w:name w:val="标题 2 Char"/>
    <w:basedOn w:val="PO2"/>
    <w:link w:val="PO8"/>
    <w:uiPriority w:val="152"/>
    <w:rPr>
      <w:rFonts w:ascii="Arial" w:eastAsia="黑体" w:hAnsi="Arial"/>
      <w:b/>
      <w:shd w:val="clear"/>
      <w:sz w:val="32"/>
      <w:szCs w:val="32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2358</Characters>
  <CharactersWithSpaces>0</CharactersWithSpaces>
  <Company>P R C</Company>
  <DocSecurity>0</DocSecurity>
  <HyperlinksChanged>false</HyperlinksChanged>
  <Lines>16</Lines>
  <LinksUpToDate>false</LinksUpToDate>
  <Pages>3</Pages>
  <Paragraphs>4</Paragraphs>
  <Words>352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China</dc:creator>
  <cp:lastModifiedBy/>
  <dcterms:modified xsi:type="dcterms:W3CDTF">2018-03-22T09:49:00Z</dcterms:modified>
</cp:coreProperties>
</file>