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06" w:rsidRPr="00FF34E4" w:rsidRDefault="00427D06" w:rsidP="00427D06">
      <w:pPr>
        <w:widowControl/>
        <w:spacing w:line="520" w:lineRule="exact"/>
        <w:jc w:val="center"/>
        <w:rPr>
          <w:rFonts w:ascii="宋体" w:eastAsia="宋体" w:hAnsi="宋体" w:cs="宋体"/>
          <w:kern w:val="0"/>
          <w:sz w:val="24"/>
          <w:szCs w:val="24"/>
        </w:rPr>
      </w:pPr>
      <w:r w:rsidRPr="00FF34E4">
        <w:rPr>
          <w:rFonts w:ascii="宋体" w:eastAsia="宋体" w:hAnsi="宋体" w:cs="宋体" w:hint="eastAsia"/>
          <w:b/>
          <w:kern w:val="0"/>
          <w:sz w:val="28"/>
          <w:szCs w:val="28"/>
        </w:rPr>
        <w:t>关于实施中央预算单位公务卡强制结算目录的通知</w:t>
      </w:r>
    </w:p>
    <w:p w:rsidR="00427D06" w:rsidRDefault="00427D06" w:rsidP="00427D06">
      <w:pPr>
        <w:widowControl/>
        <w:spacing w:line="520" w:lineRule="exact"/>
        <w:jc w:val="center"/>
        <w:rPr>
          <w:rFonts w:ascii="宋体" w:eastAsia="宋体" w:hAnsi="宋体" w:cs="宋体"/>
          <w:kern w:val="0"/>
          <w:sz w:val="24"/>
          <w:szCs w:val="24"/>
        </w:rPr>
      </w:pPr>
      <w:r w:rsidRPr="00714932">
        <w:rPr>
          <w:rFonts w:ascii="宋体" w:eastAsia="宋体" w:hAnsi="宋体" w:cs="宋体" w:hint="eastAsia"/>
          <w:kern w:val="0"/>
          <w:sz w:val="24"/>
          <w:szCs w:val="24"/>
        </w:rPr>
        <w:t>财库〔2011〕160号</w:t>
      </w:r>
    </w:p>
    <w:p w:rsidR="00B54D68" w:rsidRPr="00714932" w:rsidRDefault="00B54D68" w:rsidP="00427D06">
      <w:pPr>
        <w:widowControl/>
        <w:spacing w:line="520" w:lineRule="exact"/>
        <w:jc w:val="center"/>
        <w:rPr>
          <w:rFonts w:ascii="宋体" w:eastAsia="宋体" w:hAnsi="宋体" w:cs="宋体"/>
          <w:kern w:val="0"/>
          <w:sz w:val="24"/>
          <w:szCs w:val="24"/>
        </w:rPr>
      </w:pP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党中央有关部门，国务院各部委、各直属机构，武警部队，新疆生产建设兵团，全国人大常委会办公厅，全国政协办公厅，高法院，高检院，有关人民团体：</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为加强和规范公务支出管理，进一步推进公务卡制度改革，扩大公务卡使用范围，切实减少公务支出中的现金提取和使用，根据《财政部中国人民银行关于印发〈中央预算单位公务卡管理暂行办法〉的通知》（财库〔2007〕63号）等有关规定，决定在中央预算单位实施公务卡强制结算目录。现就有关事项通知如下：</w:t>
      </w:r>
    </w:p>
    <w:p w:rsidR="00427D06" w:rsidRPr="00714932" w:rsidRDefault="00427D06" w:rsidP="00427D06">
      <w:pPr>
        <w:widowControl/>
        <w:spacing w:line="520" w:lineRule="exact"/>
        <w:ind w:firstLineChars="200" w:firstLine="482"/>
        <w:jc w:val="left"/>
        <w:rPr>
          <w:rFonts w:ascii="宋体" w:eastAsia="宋体" w:hAnsi="宋体" w:cs="宋体"/>
          <w:kern w:val="0"/>
          <w:sz w:val="24"/>
          <w:szCs w:val="24"/>
        </w:rPr>
      </w:pPr>
      <w:r w:rsidRPr="00714932">
        <w:rPr>
          <w:rFonts w:ascii="宋体" w:eastAsia="宋体" w:hAnsi="宋体" w:cs="宋体" w:hint="eastAsia"/>
          <w:b/>
          <w:kern w:val="0"/>
          <w:sz w:val="24"/>
          <w:szCs w:val="24"/>
        </w:rPr>
        <w:t>一、充分认识实施公务卡强制结算目录的必要性</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公务卡制度改革自2007年推行以来，改革覆盖面迅速扩大，公务卡发卡量快速增长,对减少预算单位现金支付结算、规范公务支出的政策效应逐步显现。但同时也存在公务卡使用范围偏窄、使用率不高的问题，“有卡不用”现象较为普遍。建立公务卡强制结算目录，严格规定预算单位公务支出中必须使用公务卡结算的项目，有利于提高公务卡使用率，充分发挥公务卡制度优势，进一步加强和规范公务支出管理。各部门各单位要从党风廉政建设和源头预防腐败的高度，切实提高对实施公务卡强制结算目录必要性和重要性的认识，认真抓好落实工作。</w:t>
      </w:r>
    </w:p>
    <w:p w:rsidR="00427D06" w:rsidRPr="00714932" w:rsidRDefault="00427D06" w:rsidP="00427D06">
      <w:pPr>
        <w:widowControl/>
        <w:spacing w:line="520" w:lineRule="exact"/>
        <w:ind w:firstLineChars="200" w:firstLine="482"/>
        <w:jc w:val="left"/>
        <w:rPr>
          <w:rFonts w:ascii="宋体" w:eastAsia="宋体" w:hAnsi="宋体" w:cs="宋体"/>
          <w:kern w:val="0"/>
          <w:sz w:val="24"/>
          <w:szCs w:val="24"/>
        </w:rPr>
      </w:pPr>
      <w:r w:rsidRPr="00714932">
        <w:rPr>
          <w:rFonts w:ascii="宋体" w:eastAsia="宋体" w:hAnsi="宋体" w:cs="宋体" w:hint="eastAsia"/>
          <w:b/>
          <w:kern w:val="0"/>
          <w:sz w:val="24"/>
          <w:szCs w:val="24"/>
        </w:rPr>
        <w:t>二、严格执行公务卡强制结算目录</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（一）所有实行公务卡制度改革的中央预算单位，都应严格执行中央预算单位公务卡强制结算目录。</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（二）凡目录规定的公务支出项目，应按规定使用公务卡结算，原则上不再使用现金结算。原使用转账方式结算的，可继续使用转账方式。</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（三）下列情况可暂不使用公务卡结算：</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1.在县级以下（不包括县级）地区发生的公务支出；</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lastRenderedPageBreak/>
        <w:t>2.在县级及县级以上地区不具备刷卡条件的场所发生的单笔消费在200元以下的公务支出；</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3.按规定支付给个人的支出；</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4.签证费、快递费、过桥过路费、出租车费用等目前只能使用现金结算的支出。</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除上述情况外，因特殊情形确实不能使用公务卡结算的，应报经单位财务部门批准。</w:t>
      </w:r>
    </w:p>
    <w:p w:rsidR="00427D06" w:rsidRPr="00714932" w:rsidRDefault="00427D06" w:rsidP="00427D06">
      <w:pPr>
        <w:widowControl/>
        <w:spacing w:line="520" w:lineRule="exact"/>
        <w:ind w:firstLineChars="200" w:firstLine="482"/>
        <w:jc w:val="left"/>
        <w:rPr>
          <w:rFonts w:ascii="宋体" w:eastAsia="宋体" w:hAnsi="宋体" w:cs="宋体"/>
          <w:kern w:val="0"/>
          <w:sz w:val="24"/>
          <w:szCs w:val="24"/>
        </w:rPr>
      </w:pPr>
      <w:r w:rsidRPr="00714932">
        <w:rPr>
          <w:rFonts w:ascii="宋体" w:eastAsia="宋体" w:hAnsi="宋体" w:cs="宋体" w:hint="eastAsia"/>
          <w:b/>
          <w:kern w:val="0"/>
          <w:sz w:val="24"/>
          <w:szCs w:val="24"/>
        </w:rPr>
        <w:t>三、有关工作要求</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一）制定具体细则。各部门应尽快制定本部门实施公务卡强制结算目录的管理办法，并于2011年12月31日前报财政部备案。各部门要加强对所属预算单位的指导，要求各单位制定相应的实施细则，重点明确不能使用公务卡结算情况下的财务审批程序和报销手续。各部门各单位应从严控制不使用公务卡结算的支出事项，必要时报销申请人应提供不能使用公务卡结算的证明材料。</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（二）加强培训宣传。各部门各单位要加强公务卡管理政策培训，使单位财务人员和工作人员熟练掌握公务卡强制结算目录。同时要加强宣传，在本部门本单位形成良好的主动用卡、自觉用卡氛围。</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（三</w:t>
      </w:r>
      <w:r w:rsidRPr="00714932">
        <w:rPr>
          <w:rFonts w:ascii="宋体" w:eastAsia="宋体" w:hAnsi="宋体" w:cs="宋体" w:hint="eastAsia"/>
          <w:kern w:val="0"/>
          <w:sz w:val="24"/>
          <w:szCs w:val="24"/>
        </w:rPr>
        <w:t>）加大改革力度。各部门要于2012年底前将公务卡制度改革推进到所有基层预算单位，并督促基层预算单位严格执行公务卡强制结算目录。</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本通知自2012年1月1日起实施。</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r w:rsidRPr="00714932">
        <w:rPr>
          <w:rFonts w:ascii="宋体" w:eastAsia="宋体" w:hAnsi="宋体" w:cs="宋体" w:hint="eastAsia"/>
          <w:kern w:val="0"/>
          <w:sz w:val="24"/>
          <w:szCs w:val="24"/>
        </w:rPr>
        <w:t>附件：中央预算单位公务卡强制结算目录</w:t>
      </w:r>
    </w:p>
    <w:p w:rsidR="00427D06" w:rsidRPr="00714932" w:rsidRDefault="00427D06" w:rsidP="00427D06">
      <w:pPr>
        <w:widowControl/>
        <w:spacing w:line="520" w:lineRule="exact"/>
        <w:ind w:firstLineChars="200" w:firstLine="480"/>
        <w:jc w:val="left"/>
        <w:rPr>
          <w:rFonts w:ascii="宋体" w:eastAsia="宋体" w:hAnsi="宋体" w:cs="宋体"/>
          <w:kern w:val="0"/>
          <w:sz w:val="24"/>
          <w:szCs w:val="24"/>
        </w:rPr>
      </w:pPr>
    </w:p>
    <w:p w:rsidR="00427D06" w:rsidRPr="00714932" w:rsidRDefault="00427D06" w:rsidP="00427D06">
      <w:pPr>
        <w:widowControl/>
        <w:spacing w:line="520" w:lineRule="exact"/>
        <w:ind w:firstLineChars="200" w:firstLine="480"/>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sidRPr="00714932">
        <w:rPr>
          <w:rFonts w:ascii="宋体" w:eastAsia="宋体" w:hAnsi="宋体" w:cs="宋体" w:hint="eastAsia"/>
          <w:kern w:val="0"/>
          <w:sz w:val="24"/>
          <w:szCs w:val="24"/>
        </w:rPr>
        <w:t>财　政　部</w:t>
      </w:r>
    </w:p>
    <w:p w:rsidR="00427D06" w:rsidRDefault="00427D06" w:rsidP="00427D06">
      <w:pPr>
        <w:rPr>
          <w:rFonts w:ascii="宋体" w:eastAsia="宋体" w:hAnsi="宋体" w:cs="宋体"/>
          <w:kern w:val="0"/>
          <w:sz w:val="24"/>
          <w:szCs w:val="24"/>
        </w:rPr>
      </w:pPr>
      <w:r>
        <w:rPr>
          <w:rFonts w:ascii="宋体" w:eastAsia="宋体" w:hAnsi="宋体" w:cs="宋体" w:hint="eastAsia"/>
          <w:kern w:val="0"/>
          <w:sz w:val="24"/>
          <w:szCs w:val="24"/>
        </w:rPr>
        <w:t xml:space="preserve">                                            </w:t>
      </w:r>
      <w:r w:rsidRPr="00714932">
        <w:rPr>
          <w:rFonts w:ascii="宋体" w:eastAsia="宋体" w:hAnsi="宋体" w:cs="宋体" w:hint="eastAsia"/>
          <w:kern w:val="0"/>
          <w:sz w:val="24"/>
          <w:szCs w:val="24"/>
        </w:rPr>
        <w:t>二</w:t>
      </w:r>
      <w:proofErr w:type="gramStart"/>
      <w:r w:rsidRPr="00714932">
        <w:rPr>
          <w:rFonts w:ascii="宋体" w:eastAsia="宋体" w:hAnsi="宋体" w:cs="宋体" w:hint="eastAsia"/>
          <w:kern w:val="0"/>
          <w:sz w:val="24"/>
          <w:szCs w:val="24"/>
        </w:rPr>
        <w:t>0一一</w:t>
      </w:r>
      <w:proofErr w:type="gramEnd"/>
      <w:r w:rsidRPr="00714932">
        <w:rPr>
          <w:rFonts w:ascii="宋体" w:eastAsia="宋体" w:hAnsi="宋体" w:cs="宋体" w:hint="eastAsia"/>
          <w:kern w:val="0"/>
          <w:sz w:val="24"/>
          <w:szCs w:val="24"/>
        </w:rPr>
        <w:t>年十一月二十五日</w:t>
      </w:r>
    </w:p>
    <w:p w:rsidR="00151F30" w:rsidRDefault="00151F30" w:rsidP="00427D06">
      <w:pPr>
        <w:rPr>
          <w:rFonts w:ascii="宋体" w:eastAsia="宋体" w:hAnsi="宋体" w:cs="宋体"/>
          <w:kern w:val="0"/>
          <w:sz w:val="24"/>
          <w:szCs w:val="24"/>
        </w:rPr>
      </w:pPr>
    </w:p>
    <w:p w:rsidR="00151F30" w:rsidRDefault="00151F30" w:rsidP="00427D06">
      <w:pPr>
        <w:rPr>
          <w:rFonts w:ascii="宋体" w:eastAsia="宋体" w:hAnsi="宋体" w:cs="宋体"/>
          <w:kern w:val="0"/>
          <w:sz w:val="24"/>
          <w:szCs w:val="24"/>
        </w:rPr>
      </w:pPr>
    </w:p>
    <w:p w:rsidR="00151F30" w:rsidRDefault="00151F30" w:rsidP="00427D06">
      <w:pPr>
        <w:rPr>
          <w:rFonts w:ascii="宋体" w:eastAsia="宋体" w:hAnsi="宋体" w:cs="宋体"/>
          <w:kern w:val="0"/>
          <w:sz w:val="24"/>
          <w:szCs w:val="24"/>
        </w:rPr>
      </w:pPr>
    </w:p>
    <w:p w:rsidR="00151F30" w:rsidRDefault="00151F30" w:rsidP="00427D06">
      <w:pPr>
        <w:rPr>
          <w:rFonts w:ascii="宋体" w:eastAsia="宋体" w:hAnsi="宋体" w:cs="宋体"/>
          <w:kern w:val="0"/>
          <w:sz w:val="24"/>
          <w:szCs w:val="24"/>
        </w:rPr>
      </w:pPr>
    </w:p>
    <w:tbl>
      <w:tblPr>
        <w:tblW w:w="11700" w:type="dxa"/>
        <w:jc w:val="center"/>
        <w:tblCellSpacing w:w="0" w:type="dxa"/>
        <w:tblCellMar>
          <w:left w:w="0" w:type="dxa"/>
          <w:right w:w="0" w:type="dxa"/>
        </w:tblCellMar>
        <w:tblLook w:val="04A0"/>
      </w:tblPr>
      <w:tblGrid>
        <w:gridCol w:w="11700"/>
      </w:tblGrid>
      <w:tr w:rsidR="00F36C8E" w:rsidRPr="00714932" w:rsidTr="00627256">
        <w:trPr>
          <w:tblCellSpacing w:w="0" w:type="dxa"/>
          <w:jc w:val="center"/>
        </w:trPr>
        <w:tc>
          <w:tcPr>
            <w:tcW w:w="5000" w:type="pct"/>
            <w:vAlign w:val="center"/>
            <w:hideMark/>
          </w:tcPr>
          <w:p w:rsidR="00F36C8E" w:rsidRPr="00714932" w:rsidRDefault="00F36C8E" w:rsidP="00627256">
            <w:pPr>
              <w:widowControl/>
              <w:spacing w:after="240" w:line="320" w:lineRule="atLeast"/>
              <w:jc w:val="left"/>
              <w:rPr>
                <w:rFonts w:ascii="MS Shell Dlg" w:eastAsia="宋体" w:hAnsi="MS Shell Dlg" w:cs="MS Shell Dlg"/>
                <w:kern w:val="0"/>
                <w:sz w:val="18"/>
                <w:szCs w:val="18"/>
              </w:rPr>
            </w:pPr>
          </w:p>
        </w:tc>
      </w:tr>
      <w:tr w:rsidR="00F36C8E" w:rsidRPr="00714932" w:rsidTr="00627256">
        <w:trPr>
          <w:trHeight w:val="600"/>
          <w:tblCellSpacing w:w="0" w:type="dxa"/>
          <w:jc w:val="center"/>
        </w:trPr>
        <w:tc>
          <w:tcPr>
            <w:tcW w:w="5000" w:type="pct"/>
            <w:vAlign w:val="center"/>
            <w:hideMark/>
          </w:tcPr>
          <w:p w:rsidR="00F36C8E" w:rsidRPr="00714932" w:rsidRDefault="00F36C8E" w:rsidP="00627256">
            <w:pPr>
              <w:widowControl/>
              <w:spacing w:line="320" w:lineRule="atLeast"/>
              <w:jc w:val="right"/>
              <w:rPr>
                <w:rFonts w:ascii="MS Shell Dlg" w:eastAsia="宋体" w:hAnsi="MS Shell Dlg" w:cs="MS Shell Dlg"/>
                <w:kern w:val="0"/>
                <w:sz w:val="18"/>
                <w:szCs w:val="18"/>
              </w:rPr>
            </w:pPr>
          </w:p>
        </w:tc>
      </w:tr>
    </w:tbl>
    <w:p w:rsidR="002E1B69" w:rsidRDefault="002E1B69" w:rsidP="002E1B69">
      <w:pPr>
        <w:rPr>
          <w:sz w:val="24"/>
          <w:szCs w:val="24"/>
        </w:rPr>
      </w:pPr>
    </w:p>
    <w:p w:rsidR="002E1B69" w:rsidRPr="004D0456" w:rsidRDefault="002E1B69" w:rsidP="002E1B69">
      <w:pPr>
        <w:jc w:val="center"/>
        <w:rPr>
          <w:b/>
          <w:sz w:val="24"/>
          <w:szCs w:val="24"/>
        </w:rPr>
      </w:pPr>
      <w:r w:rsidRPr="004D0456">
        <w:rPr>
          <w:rFonts w:hint="eastAsia"/>
          <w:b/>
          <w:sz w:val="24"/>
          <w:szCs w:val="24"/>
        </w:rPr>
        <w:lastRenderedPageBreak/>
        <w:t>中央预算单位公务卡强制结算目录</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tblPr>
      <w:tblGrid>
        <w:gridCol w:w="896"/>
        <w:gridCol w:w="2504"/>
        <w:gridCol w:w="5178"/>
      </w:tblGrid>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序号</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公务卡结算项目</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备注</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01</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办公费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指单位购买按财务会计制度规定不符合固定资产确认标准的日常办公用品、书报杂志等支出。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02</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印刷费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指单位的印刷费支出。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03</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咨询费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指单位咨询方面的支出。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04</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手续费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指单位支付的手续费支出。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05</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水电费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指单位支付的水电费支出。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06</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邮电费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指单位开支的电话费、电报费、传真费、网络通讯费等支出。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07</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物业管理费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指单位开支的办公用房、职工及离退休人员宿舍等的物业管理费，包括综合治理、绿化、卫生等方面的支出。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08</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差旅费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指单位工作人员因出差支付的住宿费、购买机票支出等。</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09</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维修（护）费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指单位日常开支的固定资产（不包括车船等交通工具）修理和维护费用，网络信息系统运行与维护费用。</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10</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租赁费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指租赁办公用房、宿舍、专用通讯网以及其他设备等方面的费用。</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11</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会议费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proofErr w:type="gramStart"/>
            <w:r w:rsidRPr="00256F7B">
              <w:rPr>
                <w:rFonts w:ascii="Arial" w:hAnsi="Arial" w:cs="Arial"/>
                <w:color w:val="333333"/>
                <w:kern w:val="0"/>
                <w:sz w:val="16"/>
                <w:szCs w:val="16"/>
              </w:rPr>
              <w:t>指会议</w:t>
            </w:r>
            <w:proofErr w:type="gramEnd"/>
            <w:r w:rsidRPr="00256F7B">
              <w:rPr>
                <w:rFonts w:ascii="Arial" w:hAnsi="Arial" w:cs="Arial"/>
                <w:color w:val="333333"/>
                <w:kern w:val="0"/>
                <w:sz w:val="16"/>
                <w:szCs w:val="16"/>
              </w:rPr>
              <w:t>中按规定开支的房租费、伙食补助费以及文件资料的印刷费、</w:t>
            </w:r>
            <w:proofErr w:type="gramStart"/>
            <w:r w:rsidRPr="00256F7B">
              <w:rPr>
                <w:rFonts w:ascii="Arial" w:hAnsi="Arial" w:cs="Arial"/>
                <w:color w:val="333333"/>
                <w:kern w:val="0"/>
                <w:sz w:val="16"/>
                <w:szCs w:val="16"/>
              </w:rPr>
              <w:t>会议场</w:t>
            </w:r>
            <w:proofErr w:type="gramEnd"/>
            <w:r w:rsidRPr="00256F7B">
              <w:rPr>
                <w:rFonts w:ascii="Arial" w:hAnsi="Arial" w:cs="Arial"/>
                <w:color w:val="333333"/>
                <w:kern w:val="0"/>
                <w:sz w:val="16"/>
                <w:szCs w:val="16"/>
              </w:rPr>
              <w:t>地租用费等。</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12</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培训费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指各类培训支出。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13</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公务接待费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指单位按规定开支的各类公务接待（含外宾接待）费用。</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14</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专用材料费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15</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公务用车运行维护费</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指公务用车的燃料费、维修费、保险费等支出。</w:t>
            </w:r>
          </w:p>
        </w:tc>
      </w:tr>
      <w:tr w:rsidR="002E1B69" w:rsidRPr="00D9591B" w:rsidTr="00627256">
        <w:trPr>
          <w:trHeight w:val="299"/>
        </w:trPr>
        <w:tc>
          <w:tcPr>
            <w:tcW w:w="90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16</w:t>
            </w:r>
          </w:p>
        </w:tc>
        <w:tc>
          <w:tcPr>
            <w:tcW w:w="25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其他交通费用</w:t>
            </w:r>
          </w:p>
        </w:tc>
        <w:tc>
          <w:tcPr>
            <w:tcW w:w="5220" w:type="dxa"/>
            <w:shd w:val="clear" w:color="auto" w:fill="FFFFFF"/>
            <w:tcMar>
              <w:top w:w="27" w:type="dxa"/>
              <w:left w:w="136" w:type="dxa"/>
              <w:bottom w:w="27" w:type="dxa"/>
              <w:right w:w="136" w:type="dxa"/>
            </w:tcMar>
            <w:vAlign w:val="center"/>
            <w:hideMark/>
          </w:tcPr>
          <w:p w:rsidR="002E1B69" w:rsidRPr="00256F7B" w:rsidRDefault="002E1B69" w:rsidP="00627256">
            <w:pPr>
              <w:widowControl/>
              <w:wordWrap w:val="0"/>
              <w:spacing w:line="326" w:lineRule="atLeast"/>
              <w:jc w:val="left"/>
              <w:rPr>
                <w:rFonts w:ascii="Arial" w:hAnsi="Arial" w:cs="Arial"/>
                <w:color w:val="333333"/>
                <w:kern w:val="0"/>
                <w:sz w:val="16"/>
                <w:szCs w:val="16"/>
              </w:rPr>
            </w:pPr>
            <w:r w:rsidRPr="00256F7B">
              <w:rPr>
                <w:rFonts w:ascii="Arial" w:hAnsi="Arial" w:cs="Arial"/>
                <w:color w:val="333333"/>
                <w:kern w:val="0"/>
                <w:sz w:val="16"/>
                <w:szCs w:val="16"/>
              </w:rPr>
              <w:t>指单位除公务用车运行维护费以外的其他交通费用。如飞机、船舶等的燃料费、维修费、保险费等。</w:t>
            </w:r>
          </w:p>
        </w:tc>
      </w:tr>
    </w:tbl>
    <w:p w:rsidR="00F36C8E" w:rsidRPr="002E1B69" w:rsidRDefault="00F36C8E" w:rsidP="00427D06"/>
    <w:sectPr w:rsidR="00F36C8E" w:rsidRPr="002E1B69" w:rsidSect="00601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40A" w:rsidRDefault="002F340A" w:rsidP="00714932">
      <w:r>
        <w:separator/>
      </w:r>
    </w:p>
  </w:endnote>
  <w:endnote w:type="continuationSeparator" w:id="0">
    <w:p w:rsidR="002F340A" w:rsidRDefault="002F340A" w:rsidP="007149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40A" w:rsidRDefault="002F340A" w:rsidP="00714932">
      <w:r>
        <w:separator/>
      </w:r>
    </w:p>
  </w:footnote>
  <w:footnote w:type="continuationSeparator" w:id="0">
    <w:p w:rsidR="002F340A" w:rsidRDefault="002F340A" w:rsidP="007149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4932"/>
    <w:rsid w:val="00060C09"/>
    <w:rsid w:val="00151F30"/>
    <w:rsid w:val="002E1B69"/>
    <w:rsid w:val="002F340A"/>
    <w:rsid w:val="00427D06"/>
    <w:rsid w:val="005826AB"/>
    <w:rsid w:val="00591741"/>
    <w:rsid w:val="005C2B2F"/>
    <w:rsid w:val="00601807"/>
    <w:rsid w:val="00714932"/>
    <w:rsid w:val="00B54D68"/>
    <w:rsid w:val="00F36C8E"/>
    <w:rsid w:val="00F80C87"/>
    <w:rsid w:val="00FC3D3D"/>
    <w:rsid w:val="00FF34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49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4932"/>
    <w:rPr>
      <w:sz w:val="18"/>
      <w:szCs w:val="18"/>
    </w:rPr>
  </w:style>
  <w:style w:type="paragraph" w:styleId="a4">
    <w:name w:val="footer"/>
    <w:basedOn w:val="a"/>
    <w:link w:val="Char0"/>
    <w:uiPriority w:val="99"/>
    <w:semiHidden/>
    <w:unhideWhenUsed/>
    <w:rsid w:val="007149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4932"/>
    <w:rPr>
      <w:sz w:val="18"/>
      <w:szCs w:val="18"/>
    </w:rPr>
  </w:style>
  <w:style w:type="character" w:styleId="a5">
    <w:name w:val="Strong"/>
    <w:basedOn w:val="a0"/>
    <w:uiPriority w:val="22"/>
    <w:qFormat/>
    <w:rsid w:val="0071493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297</Words>
  <Characters>1695</Characters>
  <Application>Microsoft Office Word</Application>
  <DocSecurity>0</DocSecurity>
  <Lines>14</Lines>
  <Paragraphs>3</Paragraphs>
  <ScaleCrop>false</ScaleCrop>
  <Company>Hewlett-Packard Company</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cwc</dc:creator>
  <cp:keywords/>
  <dc:description/>
  <cp:lastModifiedBy>cwc</cp:lastModifiedBy>
  <cp:revision>9</cp:revision>
  <dcterms:created xsi:type="dcterms:W3CDTF">2014-10-30T10:12:00Z</dcterms:created>
  <dcterms:modified xsi:type="dcterms:W3CDTF">2014-11-03T06:59:00Z</dcterms:modified>
</cp:coreProperties>
</file>