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A4926">
      <w:pPr>
        <w:spacing w:line="540" w:lineRule="exact"/>
        <w:jc w:val="left"/>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5</w:t>
      </w:r>
    </w:p>
    <w:p w14:paraId="4E117309">
      <w:pPr>
        <w:spacing w:line="560" w:lineRule="exact"/>
        <w:ind w:firstLine="640" w:firstLineChars="200"/>
        <w:rPr>
          <w:rFonts w:ascii="Times New Roman" w:hAnsi="Times New Roman" w:eastAsia="仿宋_GB2312" w:cs="Times New Roman"/>
          <w:sz w:val="32"/>
          <w:szCs w:val="32"/>
        </w:rPr>
      </w:pPr>
    </w:p>
    <w:p w14:paraId="7F3AA4AA">
      <w:pPr>
        <w:spacing w:line="560" w:lineRule="exact"/>
        <w:ind w:firstLine="640" w:firstLineChars="200"/>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基础研究类科研</w:t>
      </w:r>
      <w:r>
        <w:rPr>
          <w:rFonts w:hint="eastAsia" w:ascii="Times New Roman" w:hAnsi="Times New Roman" w:eastAsia="仿宋_GB2312" w:cs="Times New Roman"/>
          <w:b/>
          <w:sz w:val="32"/>
          <w:szCs w:val="32"/>
          <w:lang w:eastAsia="zh-CN"/>
        </w:rPr>
        <w:t>平台</w:t>
      </w:r>
      <w:r>
        <w:rPr>
          <w:rFonts w:hint="eastAsia" w:ascii="Times New Roman" w:hAnsi="Times New Roman" w:eastAsia="仿宋_GB2312" w:cs="Times New Roman"/>
          <w:b/>
          <w:sz w:val="32"/>
          <w:szCs w:val="32"/>
        </w:rPr>
        <w:t>考核指标（仅供参考）</w:t>
      </w:r>
    </w:p>
    <w:tbl>
      <w:tblPr>
        <w:tblStyle w:val="4"/>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9"/>
        <w:gridCol w:w="11079"/>
      </w:tblGrid>
      <w:tr w14:paraId="56F5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675" w:type="pct"/>
            <w:tcBorders>
              <w:top w:val="single" w:color="auto" w:sz="4" w:space="0"/>
              <w:left w:val="single" w:color="auto" w:sz="4" w:space="0"/>
              <w:bottom w:val="nil"/>
              <w:right w:val="single" w:color="auto" w:sz="4" w:space="0"/>
            </w:tcBorders>
            <w:vAlign w:val="center"/>
          </w:tcPr>
          <w:p w14:paraId="14051A37">
            <w:pPr>
              <w:adjustRightInd w:val="0"/>
              <w:jc w:val="center"/>
              <w:rPr>
                <w:rFonts w:ascii="黑体" w:hAnsi="黑体" w:eastAsia="黑体"/>
                <w:sz w:val="24"/>
              </w:rPr>
            </w:pPr>
            <w:r>
              <w:rPr>
                <w:rFonts w:ascii="Times New Roman" w:hAnsi="Times New Roman" w:eastAsia="仿宋_GB2312" w:cs="Times New Roman"/>
                <w:b/>
                <w:sz w:val="32"/>
                <w:szCs w:val="32"/>
              </w:rPr>
              <w:br w:type="page"/>
            </w:r>
            <w:r>
              <w:rPr>
                <w:rFonts w:ascii="黑体" w:hAnsi="黑体" w:eastAsia="黑体"/>
                <w:sz w:val="24"/>
              </w:rPr>
              <w:t>指标</w:t>
            </w:r>
          </w:p>
        </w:tc>
        <w:tc>
          <w:tcPr>
            <w:tcW w:w="4325" w:type="pct"/>
            <w:tcBorders>
              <w:top w:val="single" w:color="auto" w:sz="4" w:space="0"/>
              <w:left w:val="single" w:color="auto" w:sz="4" w:space="0"/>
              <w:bottom w:val="nil"/>
              <w:right w:val="single" w:color="auto" w:sz="4" w:space="0"/>
            </w:tcBorders>
            <w:vAlign w:val="center"/>
          </w:tcPr>
          <w:p w14:paraId="46833A7A">
            <w:pPr>
              <w:adjustRightInd w:val="0"/>
              <w:jc w:val="center"/>
              <w:rPr>
                <w:rFonts w:ascii="黑体" w:hAnsi="黑体" w:eastAsia="黑体"/>
                <w:sz w:val="24"/>
              </w:rPr>
            </w:pPr>
            <w:r>
              <w:rPr>
                <w:rFonts w:hint="eastAsia" w:ascii="黑体" w:hAnsi="黑体" w:eastAsia="黑体"/>
                <w:sz w:val="24"/>
              </w:rPr>
              <w:t>评分要点</w:t>
            </w:r>
          </w:p>
        </w:tc>
      </w:tr>
      <w:tr w14:paraId="15DC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exact"/>
          <w:jc w:val="center"/>
        </w:trPr>
        <w:tc>
          <w:tcPr>
            <w:tcW w:w="675" w:type="pct"/>
            <w:tcBorders>
              <w:top w:val="nil"/>
              <w:left w:val="single" w:color="auto" w:sz="4" w:space="0"/>
              <w:bottom w:val="single" w:color="auto" w:sz="4" w:space="0"/>
              <w:right w:val="single" w:color="auto" w:sz="4" w:space="0"/>
            </w:tcBorders>
            <w:vAlign w:val="center"/>
          </w:tcPr>
          <w:p w14:paraId="41AB8504">
            <w:pPr>
              <w:adjustRightInd w:val="0"/>
              <w:spacing w:before="156" w:beforeLines="50" w:line="360" w:lineRule="auto"/>
              <w:jc w:val="center"/>
              <w:rPr>
                <w:rFonts w:ascii="黑体" w:hAnsi="黑体" w:eastAsia="黑体"/>
                <w:sz w:val="24"/>
              </w:rPr>
            </w:pPr>
            <w:r>
              <w:rPr>
                <w:rFonts w:hAnsi="楷体" w:eastAsia="楷体"/>
                <w:kern w:val="0"/>
                <w:sz w:val="24"/>
              </w:rPr>
              <w:t>献</w:t>
            </w:r>
            <w:r>
              <w:rPr>
                <w:rFonts w:eastAsia="楷体"/>
                <w:kern w:val="0"/>
                <w:sz w:val="24"/>
              </w:rPr>
              <w:t>(50%)</w:t>
            </w:r>
          </w:p>
        </w:tc>
        <w:tc>
          <w:tcPr>
            <w:tcW w:w="4325" w:type="pct"/>
            <w:tcBorders>
              <w:top w:val="nil"/>
              <w:left w:val="single" w:color="auto" w:sz="4" w:space="0"/>
              <w:bottom w:val="single" w:color="auto" w:sz="4" w:space="0"/>
              <w:right w:val="single" w:color="auto" w:sz="4" w:space="0"/>
            </w:tcBorders>
            <w:vAlign w:val="center"/>
          </w:tcPr>
          <w:p w14:paraId="6924C3CF">
            <w:pPr>
              <w:adjustRightInd w:val="0"/>
              <w:spacing w:before="156" w:beforeLines="50" w:line="360" w:lineRule="auto"/>
              <w:rPr>
                <w:rFonts w:ascii="黑体" w:hAnsi="黑体" w:eastAsia="黑体"/>
                <w:sz w:val="24"/>
              </w:rPr>
            </w:pPr>
          </w:p>
        </w:tc>
      </w:tr>
      <w:tr w14:paraId="0DEF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675" w:type="pct"/>
            <w:vMerge w:val="restart"/>
            <w:tcBorders>
              <w:top w:val="single" w:color="auto" w:sz="4" w:space="0"/>
              <w:left w:val="single" w:color="auto" w:sz="4" w:space="0"/>
              <w:bottom w:val="single" w:color="auto" w:sz="4" w:space="0"/>
              <w:right w:val="single" w:color="auto" w:sz="4" w:space="0"/>
            </w:tcBorders>
            <w:vAlign w:val="center"/>
          </w:tcPr>
          <w:p w14:paraId="5664EFAF">
            <w:pPr>
              <w:adjustRightInd w:val="0"/>
              <w:spacing w:before="156" w:beforeLines="50" w:line="360" w:lineRule="auto"/>
              <w:jc w:val="center"/>
              <w:rPr>
                <w:rFonts w:hint="eastAsia" w:ascii="仿宋" w:hAnsi="仿宋" w:eastAsia="仿宋" w:cs="仿宋"/>
                <w:kern w:val="0"/>
                <w:sz w:val="24"/>
              </w:rPr>
            </w:pPr>
            <w:r>
              <w:rPr>
                <w:rFonts w:hint="eastAsia" w:ascii="仿宋" w:hAnsi="仿宋" w:eastAsia="仿宋" w:cs="仿宋"/>
                <w:kern w:val="0"/>
                <w:sz w:val="24"/>
              </w:rPr>
              <w:t>研究水平与</w:t>
            </w:r>
          </w:p>
          <w:p w14:paraId="47943040">
            <w:pPr>
              <w:adjustRightInd w:val="0"/>
              <w:spacing w:before="156" w:beforeLines="50" w:line="360" w:lineRule="auto"/>
              <w:jc w:val="center"/>
              <w:rPr>
                <w:rFonts w:hint="eastAsia" w:ascii="仿宋" w:hAnsi="仿宋" w:eastAsia="仿宋" w:cs="仿宋"/>
                <w:sz w:val="24"/>
              </w:rPr>
            </w:pPr>
            <w:r>
              <w:rPr>
                <w:rFonts w:hint="eastAsia" w:ascii="仿宋" w:hAnsi="仿宋" w:eastAsia="仿宋" w:cs="仿宋"/>
                <w:kern w:val="0"/>
                <w:sz w:val="24"/>
              </w:rPr>
              <w:t>贡献</w:t>
            </w:r>
          </w:p>
        </w:tc>
        <w:tc>
          <w:tcPr>
            <w:tcW w:w="4325" w:type="pct"/>
            <w:tcBorders>
              <w:top w:val="single" w:color="auto" w:sz="4" w:space="0"/>
              <w:left w:val="single" w:color="auto" w:sz="4" w:space="0"/>
              <w:bottom w:val="single" w:color="auto" w:sz="4" w:space="0"/>
              <w:right w:val="single" w:color="auto" w:sz="4" w:space="0"/>
            </w:tcBorders>
            <w:vAlign w:val="center"/>
          </w:tcPr>
          <w:p w14:paraId="61D5707A">
            <w:pPr>
              <w:adjustRightInd w:val="0"/>
              <w:spacing w:before="156" w:beforeLines="50" w:line="360" w:lineRule="auto"/>
              <w:rPr>
                <w:rFonts w:hint="eastAsia" w:ascii="仿宋" w:hAnsi="仿宋" w:eastAsia="仿宋" w:cs="仿宋"/>
                <w:sz w:val="24"/>
              </w:rPr>
            </w:pPr>
            <w:r>
              <w:rPr>
                <w:rFonts w:hint="eastAsia" w:ascii="仿宋" w:hAnsi="仿宋" w:eastAsia="仿宋" w:cs="仿宋"/>
                <w:sz w:val="24"/>
              </w:rPr>
              <w:t>定位、研究方向及承担国家重要任务情况</w:t>
            </w:r>
          </w:p>
        </w:tc>
      </w:tr>
      <w:tr w14:paraId="7B71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675" w:type="pct"/>
            <w:vMerge w:val="continue"/>
            <w:tcBorders>
              <w:top w:val="single" w:color="auto" w:sz="4" w:space="0"/>
              <w:left w:val="single" w:color="auto" w:sz="4" w:space="0"/>
              <w:bottom w:val="single" w:color="auto" w:sz="4" w:space="0"/>
              <w:right w:val="single" w:color="auto" w:sz="4" w:space="0"/>
            </w:tcBorders>
            <w:vAlign w:val="center"/>
          </w:tcPr>
          <w:p w14:paraId="3BCCD68C">
            <w:pPr>
              <w:adjustRightInd w:val="0"/>
              <w:spacing w:before="156" w:beforeLines="50" w:line="360" w:lineRule="auto"/>
              <w:jc w:val="center"/>
              <w:rPr>
                <w:rFonts w:hint="eastAsia" w:ascii="仿宋" w:hAnsi="仿宋" w:eastAsia="仿宋" w:cs="仿宋"/>
                <w:kern w:val="0"/>
                <w:sz w:val="24"/>
              </w:rPr>
            </w:pPr>
          </w:p>
        </w:tc>
        <w:tc>
          <w:tcPr>
            <w:tcW w:w="4325" w:type="pct"/>
            <w:tcBorders>
              <w:top w:val="single" w:color="auto" w:sz="4" w:space="0"/>
              <w:left w:val="single" w:color="auto" w:sz="4" w:space="0"/>
              <w:bottom w:val="single" w:color="auto" w:sz="4" w:space="0"/>
              <w:right w:val="single" w:color="auto" w:sz="4" w:space="0"/>
            </w:tcBorders>
            <w:vAlign w:val="center"/>
          </w:tcPr>
          <w:p w14:paraId="0A00F217">
            <w:pPr>
              <w:adjustRightInd w:val="0"/>
              <w:spacing w:before="156" w:beforeLines="50" w:line="360" w:lineRule="auto"/>
              <w:rPr>
                <w:rFonts w:hint="eastAsia" w:ascii="仿宋" w:hAnsi="仿宋" w:eastAsia="仿宋" w:cs="仿宋"/>
                <w:sz w:val="24"/>
              </w:rPr>
            </w:pPr>
            <w:r>
              <w:rPr>
                <w:rFonts w:hint="eastAsia" w:ascii="仿宋" w:hAnsi="仿宋" w:eastAsia="仿宋" w:cs="仿宋"/>
                <w:sz w:val="24"/>
              </w:rPr>
              <w:t>代表性研究成果水平与国际学术影响、在社会经济发展和国家重大需求中的贡献、投入产出比</w:t>
            </w:r>
          </w:p>
        </w:tc>
      </w:tr>
      <w:tr w14:paraId="6F96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675" w:type="pct"/>
            <w:vMerge w:val="continue"/>
            <w:tcBorders>
              <w:top w:val="single" w:color="auto" w:sz="4" w:space="0"/>
              <w:left w:val="single" w:color="auto" w:sz="4" w:space="0"/>
              <w:bottom w:val="single" w:color="auto" w:sz="4" w:space="0"/>
              <w:right w:val="single" w:color="auto" w:sz="4" w:space="0"/>
            </w:tcBorders>
            <w:vAlign w:val="center"/>
          </w:tcPr>
          <w:p w14:paraId="59B49BC8">
            <w:pPr>
              <w:adjustRightInd w:val="0"/>
              <w:spacing w:before="156" w:beforeLines="50" w:line="360" w:lineRule="auto"/>
              <w:jc w:val="center"/>
              <w:rPr>
                <w:rFonts w:hint="eastAsia" w:ascii="仿宋" w:hAnsi="仿宋" w:eastAsia="仿宋" w:cs="仿宋"/>
                <w:kern w:val="0"/>
                <w:sz w:val="24"/>
              </w:rPr>
            </w:pPr>
          </w:p>
        </w:tc>
        <w:tc>
          <w:tcPr>
            <w:tcW w:w="4325" w:type="pct"/>
            <w:tcBorders>
              <w:top w:val="single" w:color="auto" w:sz="4" w:space="0"/>
              <w:left w:val="single" w:color="auto" w:sz="4" w:space="0"/>
              <w:bottom w:val="single" w:color="auto" w:sz="4" w:space="0"/>
              <w:right w:val="single" w:color="auto" w:sz="4" w:space="0"/>
            </w:tcBorders>
            <w:vAlign w:val="center"/>
          </w:tcPr>
          <w:p w14:paraId="5FA37166">
            <w:pPr>
              <w:adjustRightInd w:val="0"/>
              <w:spacing w:before="156" w:beforeLines="50" w:line="360" w:lineRule="auto"/>
              <w:rPr>
                <w:rFonts w:hint="eastAsia" w:ascii="仿宋" w:hAnsi="仿宋" w:eastAsia="仿宋" w:cs="仿宋"/>
                <w:sz w:val="24"/>
              </w:rPr>
            </w:pPr>
            <w:r>
              <w:rPr>
                <w:rFonts w:hint="eastAsia" w:ascii="仿宋" w:hAnsi="仿宋" w:eastAsia="仿宋" w:cs="仿宋"/>
                <w:sz w:val="24"/>
              </w:rPr>
              <w:t>合作研究与自主研究课题的组织情况与实施效果</w:t>
            </w:r>
          </w:p>
        </w:tc>
      </w:tr>
      <w:tr w14:paraId="223F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675" w:type="pct"/>
            <w:vMerge w:val="restart"/>
            <w:tcBorders>
              <w:top w:val="single" w:color="auto" w:sz="4" w:space="0"/>
              <w:left w:val="single" w:color="auto" w:sz="4" w:space="0"/>
              <w:bottom w:val="single" w:color="auto" w:sz="4" w:space="0"/>
              <w:right w:val="single" w:color="auto" w:sz="4" w:space="0"/>
            </w:tcBorders>
            <w:vAlign w:val="center"/>
          </w:tcPr>
          <w:p w14:paraId="318C56F5">
            <w:pPr>
              <w:adjustRightInd w:val="0"/>
              <w:spacing w:before="156" w:beforeLines="50" w:line="360" w:lineRule="auto"/>
              <w:jc w:val="center"/>
              <w:rPr>
                <w:rFonts w:hint="eastAsia" w:ascii="仿宋" w:hAnsi="仿宋" w:eastAsia="仿宋" w:cs="仿宋"/>
                <w:sz w:val="24"/>
              </w:rPr>
            </w:pPr>
            <w:r>
              <w:rPr>
                <w:rFonts w:hint="eastAsia" w:ascii="仿宋" w:hAnsi="仿宋" w:eastAsia="仿宋" w:cs="仿宋"/>
                <w:kern w:val="0"/>
                <w:sz w:val="24"/>
              </w:rPr>
              <w:t>队伍建设与人才培养</w:t>
            </w:r>
          </w:p>
        </w:tc>
        <w:tc>
          <w:tcPr>
            <w:tcW w:w="4325" w:type="pct"/>
            <w:tcBorders>
              <w:top w:val="single" w:color="auto" w:sz="4" w:space="0"/>
              <w:left w:val="single" w:color="auto" w:sz="4" w:space="0"/>
              <w:bottom w:val="single" w:color="auto" w:sz="4" w:space="0"/>
              <w:right w:val="single" w:color="auto" w:sz="4" w:space="0"/>
            </w:tcBorders>
            <w:vAlign w:val="center"/>
          </w:tcPr>
          <w:p w14:paraId="55AD646B">
            <w:pPr>
              <w:adjustRightInd w:val="0"/>
              <w:spacing w:before="156" w:beforeLines="50" w:line="360" w:lineRule="auto"/>
              <w:rPr>
                <w:rFonts w:hint="eastAsia" w:ascii="仿宋" w:hAnsi="仿宋" w:eastAsia="仿宋" w:cs="仿宋"/>
                <w:sz w:val="24"/>
              </w:rPr>
            </w:pPr>
            <w:r>
              <w:rPr>
                <w:rFonts w:hint="eastAsia" w:ascii="仿宋" w:hAnsi="仿宋" w:eastAsia="仿宋" w:cs="仿宋"/>
                <w:sz w:val="24"/>
              </w:rPr>
              <w:t>实验室主任与学术带头人作用</w:t>
            </w:r>
          </w:p>
        </w:tc>
      </w:tr>
      <w:tr w14:paraId="18D5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675" w:type="pct"/>
            <w:vMerge w:val="continue"/>
            <w:tcBorders>
              <w:top w:val="single" w:color="auto" w:sz="4" w:space="0"/>
              <w:left w:val="single" w:color="auto" w:sz="4" w:space="0"/>
              <w:bottom w:val="single" w:color="auto" w:sz="4" w:space="0"/>
              <w:right w:val="single" w:color="auto" w:sz="4" w:space="0"/>
            </w:tcBorders>
            <w:vAlign w:val="center"/>
          </w:tcPr>
          <w:p w14:paraId="78CB90E5">
            <w:pPr>
              <w:adjustRightInd w:val="0"/>
              <w:spacing w:before="156" w:beforeLines="50" w:line="360" w:lineRule="auto"/>
              <w:jc w:val="center"/>
              <w:rPr>
                <w:rFonts w:hint="eastAsia" w:ascii="仿宋" w:hAnsi="仿宋" w:eastAsia="仿宋" w:cs="仿宋"/>
                <w:kern w:val="0"/>
                <w:sz w:val="24"/>
              </w:rPr>
            </w:pPr>
          </w:p>
        </w:tc>
        <w:tc>
          <w:tcPr>
            <w:tcW w:w="4325" w:type="pct"/>
            <w:tcBorders>
              <w:top w:val="single" w:color="auto" w:sz="4" w:space="0"/>
              <w:left w:val="single" w:color="auto" w:sz="4" w:space="0"/>
              <w:bottom w:val="single" w:color="auto" w:sz="4" w:space="0"/>
              <w:right w:val="single" w:color="auto" w:sz="4" w:space="0"/>
            </w:tcBorders>
            <w:vAlign w:val="center"/>
          </w:tcPr>
          <w:p w14:paraId="5BD9FDC9">
            <w:pPr>
              <w:adjustRightInd w:val="0"/>
              <w:spacing w:before="156" w:beforeLines="50" w:line="360" w:lineRule="auto"/>
              <w:rPr>
                <w:rFonts w:hint="eastAsia" w:ascii="仿宋" w:hAnsi="仿宋" w:eastAsia="仿宋" w:cs="仿宋"/>
                <w:sz w:val="24"/>
              </w:rPr>
            </w:pPr>
            <w:r>
              <w:rPr>
                <w:rFonts w:hint="eastAsia" w:ascii="仿宋" w:hAnsi="仿宋" w:eastAsia="仿宋" w:cs="仿宋"/>
                <w:sz w:val="24"/>
              </w:rPr>
              <w:t>队伍结构与创新团队建设</w:t>
            </w:r>
          </w:p>
        </w:tc>
      </w:tr>
      <w:tr w14:paraId="4E15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675" w:type="pct"/>
            <w:vMerge w:val="continue"/>
            <w:tcBorders>
              <w:top w:val="single" w:color="auto" w:sz="4" w:space="0"/>
              <w:left w:val="single" w:color="auto" w:sz="4" w:space="0"/>
              <w:bottom w:val="single" w:color="auto" w:sz="4" w:space="0"/>
              <w:right w:val="single" w:color="auto" w:sz="4" w:space="0"/>
            </w:tcBorders>
            <w:vAlign w:val="center"/>
          </w:tcPr>
          <w:p w14:paraId="47C1A6EA">
            <w:pPr>
              <w:adjustRightInd w:val="0"/>
              <w:spacing w:before="156" w:beforeLines="50" w:line="360" w:lineRule="auto"/>
              <w:jc w:val="center"/>
              <w:rPr>
                <w:rFonts w:hint="eastAsia" w:ascii="仿宋" w:hAnsi="仿宋" w:eastAsia="仿宋" w:cs="仿宋"/>
                <w:kern w:val="0"/>
                <w:sz w:val="24"/>
              </w:rPr>
            </w:pPr>
          </w:p>
        </w:tc>
        <w:tc>
          <w:tcPr>
            <w:tcW w:w="4325" w:type="pct"/>
            <w:tcBorders>
              <w:top w:val="single" w:color="auto" w:sz="4" w:space="0"/>
              <w:left w:val="single" w:color="auto" w:sz="4" w:space="0"/>
              <w:bottom w:val="single" w:color="auto" w:sz="4" w:space="0"/>
              <w:right w:val="single" w:color="auto" w:sz="4" w:space="0"/>
            </w:tcBorders>
            <w:vAlign w:val="center"/>
          </w:tcPr>
          <w:p w14:paraId="7568A6C7">
            <w:pPr>
              <w:adjustRightInd w:val="0"/>
              <w:spacing w:before="156" w:beforeLines="50" w:line="360" w:lineRule="auto"/>
              <w:rPr>
                <w:rFonts w:hint="eastAsia" w:ascii="仿宋" w:hAnsi="仿宋" w:eastAsia="仿宋" w:cs="仿宋"/>
                <w:sz w:val="24"/>
              </w:rPr>
            </w:pPr>
            <w:r>
              <w:rPr>
                <w:rFonts w:hint="eastAsia" w:ascii="仿宋" w:hAnsi="仿宋" w:eastAsia="仿宋" w:cs="仿宋"/>
                <w:sz w:val="24"/>
              </w:rPr>
              <w:t>青年骨干人才和研究生的培养</w:t>
            </w:r>
          </w:p>
        </w:tc>
      </w:tr>
      <w:tr w14:paraId="0EFF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675" w:type="pct"/>
            <w:vMerge w:val="restart"/>
            <w:tcBorders>
              <w:top w:val="single" w:color="auto" w:sz="4" w:space="0"/>
              <w:left w:val="single" w:color="auto" w:sz="4" w:space="0"/>
              <w:bottom w:val="single" w:color="auto" w:sz="4" w:space="0"/>
              <w:right w:val="single" w:color="auto" w:sz="4" w:space="0"/>
            </w:tcBorders>
            <w:vAlign w:val="center"/>
          </w:tcPr>
          <w:p w14:paraId="22AE33F9">
            <w:pPr>
              <w:adjustRightInd w:val="0"/>
              <w:spacing w:before="156" w:beforeLines="50" w:line="360" w:lineRule="auto"/>
              <w:jc w:val="center"/>
              <w:rPr>
                <w:rFonts w:hint="eastAsia" w:ascii="仿宋" w:hAnsi="仿宋" w:eastAsia="仿宋" w:cs="仿宋"/>
                <w:kern w:val="0"/>
                <w:sz w:val="24"/>
              </w:rPr>
            </w:pPr>
            <w:r>
              <w:rPr>
                <w:rFonts w:hint="eastAsia" w:ascii="仿宋" w:hAnsi="仿宋" w:eastAsia="仿宋" w:cs="仿宋"/>
                <w:kern w:val="0"/>
                <w:sz w:val="24"/>
              </w:rPr>
              <w:t>开放交流与运行管理</w:t>
            </w:r>
          </w:p>
        </w:tc>
        <w:tc>
          <w:tcPr>
            <w:tcW w:w="4325" w:type="pct"/>
            <w:tcBorders>
              <w:top w:val="single" w:color="auto" w:sz="4" w:space="0"/>
              <w:left w:val="single" w:color="auto" w:sz="4" w:space="0"/>
              <w:bottom w:val="single" w:color="auto" w:sz="4" w:space="0"/>
              <w:right w:val="single" w:color="auto" w:sz="4" w:space="0"/>
            </w:tcBorders>
            <w:vAlign w:val="center"/>
          </w:tcPr>
          <w:p w14:paraId="726185FA">
            <w:pPr>
              <w:adjustRightInd w:val="0"/>
              <w:spacing w:before="156" w:beforeLines="50" w:line="360" w:lineRule="auto"/>
              <w:rPr>
                <w:rFonts w:hint="eastAsia" w:ascii="仿宋" w:hAnsi="仿宋" w:eastAsia="仿宋" w:cs="仿宋"/>
                <w:sz w:val="24"/>
              </w:rPr>
            </w:pPr>
            <w:r>
              <w:rPr>
                <w:rFonts w:hint="eastAsia" w:ascii="仿宋" w:hAnsi="仿宋" w:eastAsia="仿宋" w:cs="仿宋"/>
                <w:sz w:val="24"/>
              </w:rPr>
              <w:t>开放课题设置及成效、科学传播</w:t>
            </w:r>
          </w:p>
        </w:tc>
      </w:tr>
      <w:tr w14:paraId="63B6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675" w:type="pct"/>
            <w:vMerge w:val="continue"/>
            <w:tcBorders>
              <w:top w:val="single" w:color="auto" w:sz="4" w:space="0"/>
              <w:left w:val="single" w:color="auto" w:sz="4" w:space="0"/>
              <w:bottom w:val="single" w:color="auto" w:sz="4" w:space="0"/>
              <w:right w:val="single" w:color="auto" w:sz="4" w:space="0"/>
            </w:tcBorders>
            <w:vAlign w:val="center"/>
          </w:tcPr>
          <w:p w14:paraId="615288FD">
            <w:pPr>
              <w:adjustRightInd w:val="0"/>
              <w:spacing w:before="156" w:beforeLines="50" w:line="360" w:lineRule="auto"/>
              <w:rPr>
                <w:rFonts w:hint="eastAsia" w:ascii="仿宋" w:hAnsi="仿宋" w:eastAsia="仿宋" w:cs="仿宋"/>
                <w:kern w:val="0"/>
                <w:sz w:val="24"/>
              </w:rPr>
            </w:pPr>
          </w:p>
        </w:tc>
        <w:tc>
          <w:tcPr>
            <w:tcW w:w="4325" w:type="pct"/>
            <w:tcBorders>
              <w:top w:val="single" w:color="auto" w:sz="4" w:space="0"/>
              <w:left w:val="single" w:color="auto" w:sz="4" w:space="0"/>
              <w:bottom w:val="single" w:color="auto" w:sz="4" w:space="0"/>
              <w:right w:val="single" w:color="auto" w:sz="4" w:space="0"/>
            </w:tcBorders>
            <w:vAlign w:val="center"/>
          </w:tcPr>
          <w:p w14:paraId="709D1916">
            <w:pPr>
              <w:adjustRightInd w:val="0"/>
              <w:spacing w:before="156" w:beforeLines="50" w:line="360" w:lineRule="auto"/>
              <w:rPr>
                <w:rFonts w:hint="eastAsia" w:ascii="仿宋" w:hAnsi="仿宋" w:eastAsia="仿宋" w:cs="仿宋"/>
                <w:sz w:val="24"/>
              </w:rPr>
            </w:pPr>
            <w:r>
              <w:rPr>
                <w:rFonts w:hint="eastAsia" w:ascii="仿宋" w:hAnsi="仿宋" w:eastAsia="仿宋" w:cs="仿宋"/>
                <w:sz w:val="24"/>
              </w:rPr>
              <w:t>学术交流</w:t>
            </w:r>
          </w:p>
        </w:tc>
      </w:tr>
      <w:tr w14:paraId="2C6C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675" w:type="pct"/>
            <w:vMerge w:val="continue"/>
            <w:tcBorders>
              <w:top w:val="single" w:color="auto" w:sz="4" w:space="0"/>
              <w:left w:val="single" w:color="auto" w:sz="4" w:space="0"/>
              <w:bottom w:val="single" w:color="auto" w:sz="4" w:space="0"/>
              <w:right w:val="single" w:color="auto" w:sz="4" w:space="0"/>
            </w:tcBorders>
            <w:vAlign w:val="center"/>
          </w:tcPr>
          <w:p w14:paraId="2F29A3C1">
            <w:pPr>
              <w:adjustRightInd w:val="0"/>
              <w:spacing w:before="156" w:beforeLines="50" w:line="360" w:lineRule="auto"/>
              <w:rPr>
                <w:rFonts w:hint="eastAsia" w:ascii="仿宋" w:hAnsi="仿宋" w:eastAsia="仿宋" w:cs="仿宋"/>
                <w:kern w:val="0"/>
                <w:sz w:val="24"/>
              </w:rPr>
            </w:pPr>
          </w:p>
        </w:tc>
        <w:tc>
          <w:tcPr>
            <w:tcW w:w="4325" w:type="pct"/>
            <w:tcBorders>
              <w:top w:val="single" w:color="auto" w:sz="4" w:space="0"/>
              <w:left w:val="single" w:color="auto" w:sz="4" w:space="0"/>
              <w:bottom w:val="single" w:color="auto" w:sz="4" w:space="0"/>
              <w:right w:val="single" w:color="auto" w:sz="4" w:space="0"/>
            </w:tcBorders>
            <w:vAlign w:val="center"/>
          </w:tcPr>
          <w:p w14:paraId="51DBF2E8">
            <w:pPr>
              <w:jc w:val="left"/>
              <w:rPr>
                <w:rFonts w:hint="eastAsia" w:ascii="仿宋" w:hAnsi="仿宋" w:eastAsia="仿宋" w:cs="仿宋"/>
                <w:sz w:val="24"/>
              </w:rPr>
            </w:pPr>
            <w:r>
              <w:rPr>
                <w:rFonts w:hint="eastAsia" w:ascii="仿宋" w:hAnsi="仿宋" w:eastAsia="仿宋" w:cs="仿宋"/>
                <w:sz w:val="24"/>
              </w:rPr>
              <w:t>仪器设备使用与共享</w:t>
            </w:r>
          </w:p>
        </w:tc>
      </w:tr>
      <w:tr w14:paraId="62C6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675" w:type="pct"/>
            <w:vMerge w:val="continue"/>
            <w:tcBorders>
              <w:top w:val="single" w:color="auto" w:sz="4" w:space="0"/>
              <w:left w:val="single" w:color="auto" w:sz="4" w:space="0"/>
              <w:bottom w:val="single" w:color="auto" w:sz="4" w:space="0"/>
              <w:right w:val="single" w:color="auto" w:sz="4" w:space="0"/>
            </w:tcBorders>
            <w:vAlign w:val="center"/>
          </w:tcPr>
          <w:p w14:paraId="4C936299">
            <w:pPr>
              <w:adjustRightInd w:val="0"/>
              <w:spacing w:before="156" w:beforeLines="50" w:line="360" w:lineRule="auto"/>
              <w:rPr>
                <w:rFonts w:hint="eastAsia" w:ascii="仿宋" w:hAnsi="仿宋" w:eastAsia="仿宋" w:cs="仿宋"/>
                <w:kern w:val="0"/>
                <w:sz w:val="24"/>
              </w:rPr>
            </w:pPr>
          </w:p>
        </w:tc>
        <w:tc>
          <w:tcPr>
            <w:tcW w:w="4325" w:type="pct"/>
            <w:tcBorders>
              <w:top w:val="single" w:color="auto" w:sz="4" w:space="0"/>
              <w:left w:val="single" w:color="auto" w:sz="4" w:space="0"/>
              <w:bottom w:val="single" w:color="auto" w:sz="4" w:space="0"/>
              <w:right w:val="single" w:color="auto" w:sz="4" w:space="0"/>
            </w:tcBorders>
            <w:vAlign w:val="center"/>
          </w:tcPr>
          <w:p w14:paraId="07FE7CB4">
            <w:pPr>
              <w:jc w:val="left"/>
              <w:rPr>
                <w:rFonts w:hint="eastAsia" w:ascii="仿宋" w:hAnsi="仿宋" w:eastAsia="仿宋" w:cs="仿宋"/>
                <w:sz w:val="24"/>
              </w:rPr>
            </w:pPr>
            <w:r>
              <w:rPr>
                <w:rFonts w:hint="eastAsia" w:ascii="仿宋" w:hAnsi="仿宋" w:eastAsia="仿宋" w:cs="仿宋"/>
                <w:sz w:val="24"/>
              </w:rPr>
              <w:t>运行管理、依托单位支持</w:t>
            </w:r>
          </w:p>
        </w:tc>
      </w:tr>
    </w:tbl>
    <w:tbl>
      <w:tblPr>
        <w:tblStyle w:val="4"/>
        <w:tblpPr w:leftFromText="181" w:rightFromText="181" w:vertAnchor="text" w:horzAnchor="margin" w:tblpXSpec="center" w:tblpY="710"/>
        <w:tblW w:w="12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0" w:type="dxa"/>
          <w:bottom w:w="113" w:type="dxa"/>
          <w:right w:w="0" w:type="dxa"/>
        </w:tblCellMar>
      </w:tblPr>
      <w:tblGrid>
        <w:gridCol w:w="1560"/>
        <w:gridCol w:w="1422"/>
        <w:gridCol w:w="9487"/>
      </w:tblGrid>
      <w:tr w14:paraId="1CA5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0" w:type="dxa"/>
            <w:bottom w:w="113" w:type="dxa"/>
            <w:right w:w="0" w:type="dxa"/>
          </w:tblCellMar>
        </w:tblPrEx>
        <w:trPr>
          <w:trHeight w:val="301" w:hRule="atLeast"/>
        </w:trPr>
        <w:tc>
          <w:tcPr>
            <w:tcW w:w="1560" w:type="dxa"/>
            <w:vAlign w:val="center"/>
          </w:tcPr>
          <w:p w14:paraId="0F4105F3">
            <w:pPr>
              <w:spacing w:line="240" w:lineRule="exact"/>
              <w:jc w:val="center"/>
              <w:textAlignment w:val="center"/>
              <w:rPr>
                <w:rFonts w:ascii="黑体" w:hAnsi="黑体" w:eastAsia="黑体"/>
                <w:sz w:val="24"/>
                <w:szCs w:val="24"/>
              </w:rPr>
            </w:pPr>
            <w:r>
              <w:rPr>
                <w:rFonts w:ascii="黑体" w:hAnsi="黑体" w:eastAsia="黑体"/>
                <w:sz w:val="24"/>
                <w:szCs w:val="24"/>
              </w:rPr>
              <w:t>一级指标</w:t>
            </w:r>
          </w:p>
        </w:tc>
        <w:tc>
          <w:tcPr>
            <w:tcW w:w="1422" w:type="dxa"/>
            <w:vAlign w:val="center"/>
          </w:tcPr>
          <w:p w14:paraId="66122C87">
            <w:pPr>
              <w:spacing w:line="240" w:lineRule="exact"/>
              <w:jc w:val="center"/>
              <w:textAlignment w:val="center"/>
              <w:rPr>
                <w:rFonts w:ascii="黑体" w:hAnsi="黑体" w:eastAsia="黑体"/>
                <w:sz w:val="24"/>
                <w:szCs w:val="24"/>
              </w:rPr>
            </w:pPr>
            <w:r>
              <w:rPr>
                <w:rFonts w:ascii="黑体" w:hAnsi="黑体" w:eastAsia="黑体"/>
                <w:sz w:val="24"/>
                <w:szCs w:val="24"/>
              </w:rPr>
              <w:t>二级指标</w:t>
            </w:r>
          </w:p>
        </w:tc>
        <w:tc>
          <w:tcPr>
            <w:tcW w:w="9487" w:type="dxa"/>
            <w:vAlign w:val="center"/>
          </w:tcPr>
          <w:p w14:paraId="6717AE59">
            <w:pPr>
              <w:spacing w:line="240" w:lineRule="exact"/>
              <w:jc w:val="center"/>
              <w:textAlignment w:val="center"/>
              <w:rPr>
                <w:rFonts w:ascii="黑体" w:hAnsi="黑体" w:eastAsia="黑体"/>
                <w:sz w:val="24"/>
                <w:szCs w:val="24"/>
              </w:rPr>
            </w:pPr>
            <w:r>
              <w:rPr>
                <w:rFonts w:ascii="黑体" w:hAnsi="黑体" w:eastAsia="黑体"/>
                <w:sz w:val="24"/>
                <w:szCs w:val="24"/>
              </w:rPr>
              <w:t>评</w:t>
            </w:r>
            <w:r>
              <w:rPr>
                <w:rFonts w:hint="eastAsia" w:ascii="黑体" w:hAnsi="黑体" w:eastAsia="黑体"/>
                <w:sz w:val="24"/>
                <w:szCs w:val="24"/>
              </w:rPr>
              <w:t>估要点</w:t>
            </w:r>
          </w:p>
        </w:tc>
      </w:tr>
      <w:tr w14:paraId="0207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0" w:type="dxa"/>
            <w:bottom w:w="113" w:type="dxa"/>
            <w:right w:w="0" w:type="dxa"/>
          </w:tblCellMar>
        </w:tblPrEx>
        <w:trPr>
          <w:trHeight w:val="464" w:hRule="atLeast"/>
        </w:trPr>
        <w:tc>
          <w:tcPr>
            <w:tcW w:w="1560" w:type="dxa"/>
            <w:vMerge w:val="restart"/>
            <w:vAlign w:val="center"/>
          </w:tcPr>
          <w:p w14:paraId="66FCEFBA">
            <w:pPr>
              <w:spacing w:line="260" w:lineRule="exact"/>
              <w:jc w:val="center"/>
              <w:textAlignment w:val="center"/>
              <w:rPr>
                <w:rFonts w:eastAsia="仿宋_GB2312"/>
                <w:sz w:val="24"/>
              </w:rPr>
            </w:pPr>
            <w:r>
              <w:rPr>
                <w:rFonts w:eastAsia="仿宋_GB2312"/>
                <w:sz w:val="24"/>
              </w:rPr>
              <w:t>工程技术</w:t>
            </w:r>
          </w:p>
          <w:p w14:paraId="21BD4702">
            <w:pPr>
              <w:spacing w:line="260" w:lineRule="exact"/>
              <w:jc w:val="center"/>
              <w:textAlignment w:val="center"/>
              <w:rPr>
                <w:rFonts w:eastAsia="仿宋_GB2312"/>
                <w:sz w:val="24"/>
              </w:rPr>
            </w:pPr>
            <w:r>
              <w:rPr>
                <w:rFonts w:eastAsia="仿宋_GB2312"/>
                <w:sz w:val="24"/>
              </w:rPr>
              <w:t>研发能力</w:t>
            </w:r>
          </w:p>
          <w:p w14:paraId="6DAEE8D4">
            <w:pPr>
              <w:spacing w:line="260" w:lineRule="exact"/>
              <w:jc w:val="center"/>
              <w:textAlignment w:val="center"/>
              <w:rPr>
                <w:rFonts w:eastAsia="仿宋_GB2312"/>
                <w:sz w:val="24"/>
              </w:rPr>
            </w:pPr>
            <w:r>
              <w:rPr>
                <w:rFonts w:eastAsia="仿宋_GB2312"/>
                <w:sz w:val="24"/>
              </w:rPr>
              <w:t>与水平</w:t>
            </w:r>
          </w:p>
        </w:tc>
        <w:tc>
          <w:tcPr>
            <w:tcW w:w="1422" w:type="dxa"/>
            <w:vAlign w:val="center"/>
          </w:tcPr>
          <w:p w14:paraId="60952E3F">
            <w:pPr>
              <w:spacing w:line="260" w:lineRule="exact"/>
              <w:jc w:val="center"/>
              <w:textAlignment w:val="center"/>
              <w:rPr>
                <w:rFonts w:eastAsia="仿宋_GB2312"/>
                <w:b/>
                <w:sz w:val="24"/>
              </w:rPr>
            </w:pPr>
            <w:r>
              <w:rPr>
                <w:rFonts w:eastAsia="仿宋_GB2312"/>
                <w:sz w:val="24"/>
              </w:rPr>
              <w:t>创新水平</w:t>
            </w:r>
          </w:p>
        </w:tc>
        <w:tc>
          <w:tcPr>
            <w:tcW w:w="9487" w:type="dxa"/>
            <w:vAlign w:val="center"/>
          </w:tcPr>
          <w:p w14:paraId="064F5BDF">
            <w:pPr>
              <w:spacing w:line="260" w:lineRule="exact"/>
              <w:textAlignment w:val="center"/>
              <w:rPr>
                <w:rFonts w:eastAsia="仿宋_GB2312"/>
                <w:sz w:val="24"/>
              </w:rPr>
            </w:pPr>
            <w:r>
              <w:rPr>
                <w:rFonts w:eastAsia="仿宋_GB2312"/>
                <w:sz w:val="24"/>
              </w:rPr>
              <w:t>总体定位和研究方向；工程技术重大突破；标志性成果影响力；承担</w:t>
            </w:r>
            <w:r>
              <w:rPr>
                <w:rFonts w:hint="eastAsia" w:eastAsia="仿宋_GB2312"/>
                <w:sz w:val="24"/>
              </w:rPr>
              <w:t>国家或地方</w:t>
            </w:r>
            <w:r>
              <w:rPr>
                <w:rFonts w:eastAsia="仿宋_GB2312"/>
                <w:sz w:val="24"/>
              </w:rPr>
              <w:t>重点重大科研任务情况</w:t>
            </w:r>
          </w:p>
        </w:tc>
      </w:tr>
      <w:tr w14:paraId="64BF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0" w:type="dxa"/>
            <w:bottom w:w="113" w:type="dxa"/>
            <w:right w:w="0" w:type="dxa"/>
          </w:tblCellMar>
        </w:tblPrEx>
        <w:trPr>
          <w:trHeight w:val="432" w:hRule="atLeast"/>
        </w:trPr>
        <w:tc>
          <w:tcPr>
            <w:tcW w:w="1560" w:type="dxa"/>
            <w:vMerge w:val="continue"/>
            <w:vAlign w:val="center"/>
          </w:tcPr>
          <w:p w14:paraId="47077F1C">
            <w:pPr>
              <w:spacing w:line="260" w:lineRule="exact"/>
              <w:jc w:val="center"/>
              <w:textAlignment w:val="center"/>
              <w:rPr>
                <w:rFonts w:eastAsia="仿宋_GB2312"/>
                <w:sz w:val="24"/>
              </w:rPr>
            </w:pPr>
          </w:p>
        </w:tc>
        <w:tc>
          <w:tcPr>
            <w:tcW w:w="1422" w:type="dxa"/>
            <w:vAlign w:val="center"/>
          </w:tcPr>
          <w:p w14:paraId="5CEDA7B3">
            <w:pPr>
              <w:spacing w:line="260" w:lineRule="exact"/>
              <w:jc w:val="center"/>
              <w:textAlignment w:val="center"/>
              <w:rPr>
                <w:rFonts w:eastAsia="仿宋_GB2312"/>
                <w:sz w:val="24"/>
              </w:rPr>
            </w:pPr>
            <w:r>
              <w:rPr>
                <w:rFonts w:eastAsia="仿宋_GB2312"/>
                <w:sz w:val="24"/>
              </w:rPr>
              <w:t>人才与队伍</w:t>
            </w:r>
          </w:p>
        </w:tc>
        <w:tc>
          <w:tcPr>
            <w:tcW w:w="9487" w:type="dxa"/>
            <w:vAlign w:val="center"/>
          </w:tcPr>
          <w:p w14:paraId="164FA01B">
            <w:pPr>
              <w:spacing w:line="260" w:lineRule="exact"/>
              <w:textAlignment w:val="center"/>
              <w:rPr>
                <w:rFonts w:eastAsia="仿宋_GB2312"/>
                <w:sz w:val="24"/>
              </w:rPr>
            </w:pPr>
            <w:r>
              <w:rPr>
                <w:rFonts w:eastAsia="仿宋_GB2312"/>
                <w:sz w:val="24"/>
              </w:rPr>
              <w:t>中心主任与技术带头人作用；研发及工程技术队伍结构；青年骨干培养与引进；</w:t>
            </w:r>
            <w:r>
              <w:rPr>
                <w:rFonts w:hint="eastAsia" w:eastAsia="仿宋_GB2312"/>
                <w:sz w:val="24"/>
              </w:rPr>
              <w:t>工程技术队伍团队攻关能力</w:t>
            </w:r>
          </w:p>
        </w:tc>
      </w:tr>
      <w:tr w14:paraId="1A2F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0" w:type="dxa"/>
            <w:bottom w:w="113" w:type="dxa"/>
            <w:right w:w="0" w:type="dxa"/>
          </w:tblCellMar>
        </w:tblPrEx>
        <w:trPr>
          <w:trHeight w:val="346" w:hRule="atLeast"/>
        </w:trPr>
        <w:tc>
          <w:tcPr>
            <w:tcW w:w="1560" w:type="dxa"/>
            <w:vMerge w:val="continue"/>
            <w:vAlign w:val="center"/>
          </w:tcPr>
          <w:p w14:paraId="6824FDEC">
            <w:pPr>
              <w:spacing w:line="260" w:lineRule="exact"/>
              <w:jc w:val="center"/>
              <w:textAlignment w:val="center"/>
              <w:rPr>
                <w:rFonts w:eastAsia="仿宋_GB2312"/>
                <w:sz w:val="24"/>
              </w:rPr>
            </w:pPr>
          </w:p>
        </w:tc>
        <w:tc>
          <w:tcPr>
            <w:tcW w:w="1422" w:type="dxa"/>
            <w:vAlign w:val="center"/>
          </w:tcPr>
          <w:p w14:paraId="37E12D34">
            <w:pPr>
              <w:spacing w:line="260" w:lineRule="exact"/>
              <w:jc w:val="center"/>
              <w:textAlignment w:val="center"/>
              <w:rPr>
                <w:rFonts w:eastAsia="仿宋_GB2312"/>
                <w:sz w:val="24"/>
              </w:rPr>
            </w:pPr>
            <w:r>
              <w:rPr>
                <w:rFonts w:eastAsia="仿宋_GB2312"/>
                <w:sz w:val="24"/>
              </w:rPr>
              <w:t>装备与场地</w:t>
            </w:r>
          </w:p>
        </w:tc>
        <w:tc>
          <w:tcPr>
            <w:tcW w:w="9487" w:type="dxa"/>
            <w:vAlign w:val="center"/>
          </w:tcPr>
          <w:p w14:paraId="33E579E7">
            <w:pPr>
              <w:spacing w:line="260" w:lineRule="exact"/>
              <w:textAlignment w:val="center"/>
              <w:rPr>
                <w:rFonts w:eastAsia="仿宋_GB2312"/>
                <w:sz w:val="24"/>
              </w:rPr>
            </w:pPr>
            <w:r>
              <w:rPr>
                <w:rFonts w:eastAsia="仿宋_GB2312"/>
                <w:sz w:val="24"/>
              </w:rPr>
              <w:t>物理空间与仪器设备分布合理，满足工程技术研发及创新发展需要</w:t>
            </w:r>
          </w:p>
        </w:tc>
      </w:tr>
      <w:tr w14:paraId="361A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0" w:type="dxa"/>
            <w:bottom w:w="113" w:type="dxa"/>
            <w:right w:w="0" w:type="dxa"/>
          </w:tblCellMar>
        </w:tblPrEx>
        <w:trPr>
          <w:trHeight w:val="508" w:hRule="atLeast"/>
        </w:trPr>
        <w:tc>
          <w:tcPr>
            <w:tcW w:w="1560" w:type="dxa"/>
            <w:vMerge w:val="restart"/>
            <w:vAlign w:val="center"/>
          </w:tcPr>
          <w:p w14:paraId="5A5D202E">
            <w:pPr>
              <w:spacing w:line="260" w:lineRule="exact"/>
              <w:jc w:val="center"/>
              <w:textAlignment w:val="center"/>
              <w:rPr>
                <w:rFonts w:eastAsia="仿宋_GB2312"/>
                <w:sz w:val="24"/>
              </w:rPr>
            </w:pPr>
            <w:r>
              <w:rPr>
                <w:rFonts w:eastAsia="仿宋_GB2312"/>
                <w:sz w:val="24"/>
              </w:rPr>
              <w:t>成果转化</w:t>
            </w:r>
          </w:p>
          <w:p w14:paraId="499CBD2A">
            <w:pPr>
              <w:spacing w:line="260" w:lineRule="exact"/>
              <w:jc w:val="center"/>
              <w:textAlignment w:val="center"/>
              <w:rPr>
                <w:rFonts w:eastAsia="仿宋_GB2312"/>
                <w:sz w:val="24"/>
              </w:rPr>
            </w:pPr>
            <w:r>
              <w:rPr>
                <w:rFonts w:eastAsia="仿宋_GB2312"/>
                <w:sz w:val="24"/>
              </w:rPr>
              <w:t>与行业</w:t>
            </w:r>
          </w:p>
          <w:p w14:paraId="153288A7">
            <w:pPr>
              <w:spacing w:line="260" w:lineRule="exact"/>
              <w:jc w:val="center"/>
              <w:textAlignment w:val="center"/>
              <w:rPr>
                <w:rFonts w:eastAsia="仿宋_GB2312"/>
                <w:sz w:val="24"/>
              </w:rPr>
            </w:pPr>
            <w:r>
              <w:rPr>
                <w:rFonts w:eastAsia="仿宋_GB2312"/>
                <w:sz w:val="24"/>
              </w:rPr>
              <w:t>贡献</w:t>
            </w:r>
          </w:p>
        </w:tc>
        <w:tc>
          <w:tcPr>
            <w:tcW w:w="1422" w:type="dxa"/>
            <w:vAlign w:val="center"/>
          </w:tcPr>
          <w:p w14:paraId="1A321A86">
            <w:pPr>
              <w:spacing w:line="260" w:lineRule="exact"/>
              <w:jc w:val="center"/>
              <w:textAlignment w:val="center"/>
              <w:rPr>
                <w:rFonts w:eastAsia="仿宋_GB2312"/>
                <w:sz w:val="24"/>
              </w:rPr>
            </w:pPr>
            <w:r>
              <w:rPr>
                <w:rFonts w:eastAsia="仿宋_GB2312"/>
                <w:sz w:val="24"/>
              </w:rPr>
              <w:t>成果转化</w:t>
            </w:r>
          </w:p>
        </w:tc>
        <w:tc>
          <w:tcPr>
            <w:tcW w:w="9487" w:type="dxa"/>
            <w:vAlign w:val="center"/>
          </w:tcPr>
          <w:p w14:paraId="3A53CEC3">
            <w:pPr>
              <w:spacing w:line="260" w:lineRule="exact"/>
              <w:textAlignment w:val="center"/>
              <w:rPr>
                <w:rFonts w:eastAsia="仿宋_GB2312"/>
                <w:sz w:val="24"/>
              </w:rPr>
            </w:pPr>
            <w:r>
              <w:rPr>
                <w:rFonts w:eastAsia="仿宋_GB2312"/>
                <w:sz w:val="24"/>
              </w:rPr>
              <w:t>科研成果转化机制及成效；专利转化收益；校企合作</w:t>
            </w:r>
            <w:r>
              <w:rPr>
                <w:rFonts w:hint="eastAsia" w:eastAsia="仿宋_GB2312"/>
                <w:sz w:val="24"/>
              </w:rPr>
              <w:t>研发任务及经费保障</w:t>
            </w:r>
            <w:r>
              <w:rPr>
                <w:rFonts w:eastAsia="仿宋_GB2312"/>
                <w:sz w:val="24"/>
              </w:rPr>
              <w:t>；承担政府产业化项目情况</w:t>
            </w:r>
          </w:p>
        </w:tc>
      </w:tr>
      <w:tr w14:paraId="3116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0" w:type="dxa"/>
            <w:bottom w:w="113" w:type="dxa"/>
            <w:right w:w="0" w:type="dxa"/>
          </w:tblCellMar>
        </w:tblPrEx>
        <w:trPr>
          <w:trHeight w:val="462" w:hRule="atLeast"/>
        </w:trPr>
        <w:tc>
          <w:tcPr>
            <w:tcW w:w="1560" w:type="dxa"/>
            <w:vMerge w:val="continue"/>
            <w:vAlign w:val="center"/>
          </w:tcPr>
          <w:p w14:paraId="5EC464F1">
            <w:pPr>
              <w:spacing w:line="260" w:lineRule="exact"/>
              <w:jc w:val="center"/>
              <w:textAlignment w:val="center"/>
              <w:rPr>
                <w:rFonts w:eastAsia="仿宋_GB2312"/>
                <w:sz w:val="24"/>
              </w:rPr>
            </w:pPr>
          </w:p>
        </w:tc>
        <w:tc>
          <w:tcPr>
            <w:tcW w:w="1422" w:type="dxa"/>
            <w:vAlign w:val="center"/>
          </w:tcPr>
          <w:p w14:paraId="20974D14">
            <w:pPr>
              <w:spacing w:line="260" w:lineRule="exact"/>
              <w:jc w:val="center"/>
              <w:textAlignment w:val="center"/>
              <w:rPr>
                <w:rFonts w:eastAsia="仿宋_GB2312"/>
                <w:sz w:val="24"/>
              </w:rPr>
            </w:pPr>
            <w:r>
              <w:rPr>
                <w:rFonts w:eastAsia="仿宋_GB2312"/>
                <w:sz w:val="24"/>
              </w:rPr>
              <w:t>行业贡献</w:t>
            </w:r>
          </w:p>
        </w:tc>
        <w:tc>
          <w:tcPr>
            <w:tcW w:w="9487" w:type="dxa"/>
            <w:vAlign w:val="center"/>
          </w:tcPr>
          <w:p w14:paraId="08A35797">
            <w:pPr>
              <w:spacing w:line="260" w:lineRule="exact"/>
              <w:textAlignment w:val="center"/>
              <w:rPr>
                <w:rFonts w:eastAsia="仿宋_GB2312"/>
                <w:sz w:val="24"/>
              </w:rPr>
            </w:pPr>
            <w:r>
              <w:rPr>
                <w:rFonts w:eastAsia="仿宋_GB2312"/>
                <w:sz w:val="24"/>
              </w:rPr>
              <w:t>工程化典型案例，推广示范作用；对行业（区域）产生直接经济社会效益；主持或参与制定国际、国家及行业技术标准与规范；提供技术咨询和培训服务</w:t>
            </w:r>
          </w:p>
        </w:tc>
      </w:tr>
      <w:tr w14:paraId="3CEB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0" w:type="dxa"/>
            <w:bottom w:w="113" w:type="dxa"/>
            <w:right w:w="0" w:type="dxa"/>
          </w:tblCellMar>
        </w:tblPrEx>
        <w:trPr>
          <w:trHeight w:val="380" w:hRule="atLeast"/>
        </w:trPr>
        <w:tc>
          <w:tcPr>
            <w:tcW w:w="1560" w:type="dxa"/>
            <w:vMerge w:val="restart"/>
            <w:vAlign w:val="center"/>
          </w:tcPr>
          <w:p w14:paraId="530AED16">
            <w:pPr>
              <w:spacing w:line="260" w:lineRule="exact"/>
              <w:jc w:val="center"/>
              <w:textAlignment w:val="center"/>
              <w:rPr>
                <w:rFonts w:eastAsia="仿宋_GB2312"/>
                <w:sz w:val="24"/>
              </w:rPr>
            </w:pPr>
            <w:r>
              <w:rPr>
                <w:rFonts w:eastAsia="仿宋_GB2312"/>
                <w:sz w:val="24"/>
              </w:rPr>
              <w:t>学科发展</w:t>
            </w:r>
          </w:p>
          <w:p w14:paraId="4AB6BDBB">
            <w:pPr>
              <w:spacing w:line="260" w:lineRule="exact"/>
              <w:jc w:val="center"/>
              <w:textAlignment w:val="center"/>
              <w:rPr>
                <w:rFonts w:eastAsia="仿宋_GB2312"/>
                <w:sz w:val="24"/>
              </w:rPr>
            </w:pPr>
            <w:r>
              <w:rPr>
                <w:rFonts w:eastAsia="仿宋_GB2312"/>
                <w:sz w:val="24"/>
              </w:rPr>
              <w:t>与人才</w:t>
            </w:r>
          </w:p>
          <w:p w14:paraId="397B9F23">
            <w:pPr>
              <w:spacing w:line="260" w:lineRule="exact"/>
              <w:jc w:val="center"/>
              <w:textAlignment w:val="center"/>
              <w:rPr>
                <w:rFonts w:eastAsia="仿宋_GB2312"/>
                <w:sz w:val="24"/>
              </w:rPr>
            </w:pPr>
            <w:r>
              <w:rPr>
                <w:rFonts w:eastAsia="仿宋_GB2312"/>
                <w:sz w:val="24"/>
              </w:rPr>
              <w:t>培养</w:t>
            </w:r>
          </w:p>
        </w:tc>
        <w:tc>
          <w:tcPr>
            <w:tcW w:w="1422" w:type="dxa"/>
            <w:vAlign w:val="center"/>
          </w:tcPr>
          <w:p w14:paraId="77AB4555">
            <w:pPr>
              <w:spacing w:line="260" w:lineRule="exact"/>
              <w:jc w:val="center"/>
              <w:textAlignment w:val="center"/>
              <w:rPr>
                <w:rFonts w:eastAsia="仿宋_GB2312"/>
                <w:sz w:val="24"/>
              </w:rPr>
            </w:pPr>
            <w:r>
              <w:rPr>
                <w:rFonts w:eastAsia="仿宋_GB2312"/>
                <w:sz w:val="24"/>
              </w:rPr>
              <w:t>学科建设</w:t>
            </w:r>
          </w:p>
        </w:tc>
        <w:tc>
          <w:tcPr>
            <w:tcW w:w="9487" w:type="dxa"/>
            <w:vAlign w:val="center"/>
          </w:tcPr>
          <w:p w14:paraId="35F8E9E2">
            <w:pPr>
              <w:spacing w:line="260" w:lineRule="exact"/>
              <w:textAlignment w:val="center"/>
              <w:rPr>
                <w:rFonts w:eastAsia="仿宋_GB2312"/>
                <w:sz w:val="24"/>
              </w:rPr>
            </w:pPr>
            <w:r>
              <w:rPr>
                <w:rFonts w:hint="eastAsia" w:eastAsia="仿宋_GB2312"/>
                <w:sz w:val="24"/>
              </w:rPr>
              <w:t>支撑学科建设水平提升的作用；</w:t>
            </w:r>
            <w:r>
              <w:rPr>
                <w:rFonts w:eastAsia="仿宋_GB2312"/>
                <w:sz w:val="24"/>
              </w:rPr>
              <w:t>促进学科</w:t>
            </w:r>
            <w:r>
              <w:rPr>
                <w:rFonts w:hint="eastAsia" w:eastAsia="仿宋_GB2312"/>
                <w:sz w:val="24"/>
              </w:rPr>
              <w:t>交叉和新兴学科</w:t>
            </w:r>
            <w:r>
              <w:rPr>
                <w:rFonts w:eastAsia="仿宋_GB2312"/>
                <w:sz w:val="24"/>
              </w:rPr>
              <w:t>发展</w:t>
            </w:r>
          </w:p>
        </w:tc>
      </w:tr>
      <w:tr w14:paraId="53FC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0" w:type="dxa"/>
            <w:bottom w:w="113" w:type="dxa"/>
            <w:right w:w="0" w:type="dxa"/>
          </w:tblCellMar>
        </w:tblPrEx>
        <w:trPr>
          <w:trHeight w:val="368" w:hRule="atLeast"/>
        </w:trPr>
        <w:tc>
          <w:tcPr>
            <w:tcW w:w="1560" w:type="dxa"/>
            <w:vMerge w:val="continue"/>
            <w:vAlign w:val="center"/>
          </w:tcPr>
          <w:p w14:paraId="018B06E9">
            <w:pPr>
              <w:spacing w:line="260" w:lineRule="exact"/>
              <w:jc w:val="center"/>
              <w:textAlignment w:val="center"/>
              <w:rPr>
                <w:rFonts w:eastAsia="仿宋_GB2312"/>
                <w:sz w:val="24"/>
              </w:rPr>
            </w:pPr>
          </w:p>
        </w:tc>
        <w:tc>
          <w:tcPr>
            <w:tcW w:w="1422" w:type="dxa"/>
            <w:vAlign w:val="center"/>
          </w:tcPr>
          <w:p w14:paraId="0E005D9C">
            <w:pPr>
              <w:spacing w:line="260" w:lineRule="exact"/>
              <w:jc w:val="center"/>
              <w:textAlignment w:val="center"/>
              <w:rPr>
                <w:rFonts w:eastAsia="仿宋_GB2312"/>
                <w:sz w:val="24"/>
              </w:rPr>
            </w:pPr>
            <w:r>
              <w:rPr>
                <w:rFonts w:eastAsia="仿宋_GB2312"/>
                <w:sz w:val="24"/>
              </w:rPr>
              <w:t>人才培养</w:t>
            </w:r>
          </w:p>
        </w:tc>
        <w:tc>
          <w:tcPr>
            <w:tcW w:w="9487" w:type="dxa"/>
            <w:vAlign w:val="center"/>
          </w:tcPr>
          <w:p w14:paraId="71439212">
            <w:pPr>
              <w:spacing w:line="260" w:lineRule="exact"/>
              <w:textAlignment w:val="center"/>
              <w:rPr>
                <w:rFonts w:eastAsia="仿宋_GB2312"/>
                <w:sz w:val="24"/>
              </w:rPr>
            </w:pPr>
            <w:r>
              <w:rPr>
                <w:rFonts w:eastAsia="仿宋_GB2312"/>
                <w:sz w:val="24"/>
              </w:rPr>
              <w:t>硕士、博士培养；实习实践基地设立及学生创新创业情况；与国内外科研机构和行业企业联合培养创新人才</w:t>
            </w:r>
          </w:p>
        </w:tc>
      </w:tr>
      <w:tr w14:paraId="2DFA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0" w:type="dxa"/>
            <w:bottom w:w="113" w:type="dxa"/>
            <w:right w:w="0" w:type="dxa"/>
          </w:tblCellMar>
        </w:tblPrEx>
        <w:trPr>
          <w:trHeight w:val="274" w:hRule="atLeast"/>
        </w:trPr>
        <w:tc>
          <w:tcPr>
            <w:tcW w:w="1560" w:type="dxa"/>
            <w:vMerge w:val="restart"/>
            <w:vAlign w:val="center"/>
          </w:tcPr>
          <w:p w14:paraId="1979D3DA">
            <w:pPr>
              <w:spacing w:line="260" w:lineRule="exact"/>
              <w:jc w:val="center"/>
              <w:textAlignment w:val="center"/>
              <w:rPr>
                <w:rFonts w:eastAsia="仿宋_GB2312"/>
                <w:sz w:val="24"/>
              </w:rPr>
            </w:pPr>
            <w:r>
              <w:rPr>
                <w:rFonts w:eastAsia="仿宋_GB2312"/>
                <w:sz w:val="24"/>
              </w:rPr>
              <w:t>开放与运行</w:t>
            </w:r>
          </w:p>
          <w:p w14:paraId="1BAE3F8A">
            <w:pPr>
              <w:spacing w:line="260" w:lineRule="exact"/>
              <w:jc w:val="center"/>
              <w:textAlignment w:val="center"/>
              <w:rPr>
                <w:rFonts w:eastAsia="仿宋_GB2312"/>
                <w:sz w:val="24"/>
              </w:rPr>
            </w:pPr>
            <w:r>
              <w:rPr>
                <w:rFonts w:eastAsia="仿宋_GB2312"/>
                <w:sz w:val="24"/>
              </w:rPr>
              <w:t>管理</w:t>
            </w:r>
          </w:p>
        </w:tc>
        <w:tc>
          <w:tcPr>
            <w:tcW w:w="1422" w:type="dxa"/>
            <w:vAlign w:val="center"/>
          </w:tcPr>
          <w:p w14:paraId="5FEEB49A">
            <w:pPr>
              <w:spacing w:line="260" w:lineRule="exact"/>
              <w:jc w:val="center"/>
              <w:textAlignment w:val="center"/>
              <w:rPr>
                <w:rFonts w:eastAsia="仿宋_GB2312"/>
                <w:sz w:val="24"/>
              </w:rPr>
            </w:pPr>
            <w:r>
              <w:rPr>
                <w:rFonts w:eastAsia="仿宋_GB2312"/>
                <w:sz w:val="24"/>
              </w:rPr>
              <w:t>发展潜力</w:t>
            </w:r>
          </w:p>
        </w:tc>
        <w:tc>
          <w:tcPr>
            <w:tcW w:w="9487" w:type="dxa"/>
            <w:vAlign w:val="center"/>
          </w:tcPr>
          <w:p w14:paraId="64C04F82">
            <w:pPr>
              <w:spacing w:line="260" w:lineRule="exact"/>
              <w:textAlignment w:val="center"/>
              <w:rPr>
                <w:rFonts w:eastAsia="仿宋_GB2312"/>
                <w:sz w:val="24"/>
              </w:rPr>
            </w:pPr>
            <w:r>
              <w:rPr>
                <w:rFonts w:eastAsia="仿宋_GB2312"/>
                <w:sz w:val="24"/>
              </w:rPr>
              <w:t>近中期目标；未来前景</w:t>
            </w:r>
          </w:p>
        </w:tc>
      </w:tr>
      <w:tr w14:paraId="384C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0" w:type="dxa"/>
            <w:bottom w:w="113" w:type="dxa"/>
            <w:right w:w="0" w:type="dxa"/>
          </w:tblCellMar>
        </w:tblPrEx>
        <w:trPr>
          <w:trHeight w:val="338" w:hRule="atLeast"/>
        </w:trPr>
        <w:tc>
          <w:tcPr>
            <w:tcW w:w="1560" w:type="dxa"/>
            <w:vMerge w:val="continue"/>
            <w:vAlign w:val="center"/>
          </w:tcPr>
          <w:p w14:paraId="12B8267E">
            <w:pPr>
              <w:spacing w:line="260" w:lineRule="exact"/>
              <w:textAlignment w:val="center"/>
              <w:rPr>
                <w:rFonts w:eastAsia="仿宋_GB2312"/>
                <w:sz w:val="24"/>
              </w:rPr>
            </w:pPr>
          </w:p>
        </w:tc>
        <w:tc>
          <w:tcPr>
            <w:tcW w:w="1422" w:type="dxa"/>
            <w:vAlign w:val="center"/>
          </w:tcPr>
          <w:p w14:paraId="6D20D6FE">
            <w:pPr>
              <w:spacing w:line="260" w:lineRule="exact"/>
              <w:jc w:val="center"/>
              <w:textAlignment w:val="center"/>
              <w:rPr>
                <w:rFonts w:eastAsia="仿宋_GB2312"/>
                <w:sz w:val="24"/>
              </w:rPr>
            </w:pPr>
            <w:r>
              <w:rPr>
                <w:rFonts w:eastAsia="仿宋_GB2312"/>
                <w:sz w:val="24"/>
              </w:rPr>
              <w:t>开放共享</w:t>
            </w:r>
          </w:p>
        </w:tc>
        <w:tc>
          <w:tcPr>
            <w:tcW w:w="9487" w:type="dxa"/>
            <w:vAlign w:val="center"/>
          </w:tcPr>
          <w:p w14:paraId="4D0CFEDC">
            <w:pPr>
              <w:spacing w:line="260" w:lineRule="exact"/>
              <w:textAlignment w:val="center"/>
              <w:rPr>
                <w:rFonts w:eastAsia="仿宋_GB2312"/>
                <w:sz w:val="24"/>
              </w:rPr>
            </w:pPr>
            <w:r>
              <w:rPr>
                <w:rFonts w:eastAsia="仿宋_GB2312"/>
                <w:sz w:val="24"/>
              </w:rPr>
              <w:t>仪器设备和资源开放共享；技术研发合作交流情况</w:t>
            </w:r>
          </w:p>
        </w:tc>
      </w:tr>
      <w:tr w14:paraId="0CE0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0" w:type="dxa"/>
            <w:bottom w:w="113" w:type="dxa"/>
            <w:right w:w="0" w:type="dxa"/>
          </w:tblCellMar>
        </w:tblPrEx>
        <w:trPr>
          <w:trHeight w:val="332" w:hRule="atLeast"/>
        </w:trPr>
        <w:tc>
          <w:tcPr>
            <w:tcW w:w="1560" w:type="dxa"/>
            <w:vMerge w:val="continue"/>
            <w:vAlign w:val="center"/>
          </w:tcPr>
          <w:p w14:paraId="773EB38A">
            <w:pPr>
              <w:spacing w:line="260" w:lineRule="exact"/>
              <w:textAlignment w:val="center"/>
              <w:rPr>
                <w:rFonts w:eastAsia="仿宋_GB2312"/>
                <w:sz w:val="24"/>
              </w:rPr>
            </w:pPr>
          </w:p>
        </w:tc>
        <w:tc>
          <w:tcPr>
            <w:tcW w:w="1422" w:type="dxa"/>
            <w:vAlign w:val="center"/>
          </w:tcPr>
          <w:p w14:paraId="5E218064">
            <w:pPr>
              <w:spacing w:line="260" w:lineRule="exact"/>
              <w:jc w:val="center"/>
              <w:textAlignment w:val="center"/>
              <w:rPr>
                <w:rFonts w:eastAsia="仿宋_GB2312"/>
                <w:sz w:val="24"/>
              </w:rPr>
            </w:pPr>
            <w:r>
              <w:rPr>
                <w:rFonts w:eastAsia="仿宋_GB2312"/>
                <w:sz w:val="24"/>
              </w:rPr>
              <w:t>管理与支持</w:t>
            </w:r>
          </w:p>
        </w:tc>
        <w:tc>
          <w:tcPr>
            <w:tcW w:w="9487" w:type="dxa"/>
            <w:vAlign w:val="center"/>
          </w:tcPr>
          <w:p w14:paraId="2EFD5BBF">
            <w:pPr>
              <w:spacing w:line="260" w:lineRule="exact"/>
              <w:jc w:val="left"/>
              <w:textAlignment w:val="center"/>
              <w:rPr>
                <w:rFonts w:eastAsia="仿宋_GB2312"/>
                <w:sz w:val="24"/>
              </w:rPr>
            </w:pPr>
            <w:r>
              <w:rPr>
                <w:rFonts w:eastAsia="仿宋_GB2312"/>
                <w:sz w:val="24"/>
              </w:rPr>
              <w:t>内部规章制度、运行管理机制、评价考核体系等；依托高校、地方政府投入与支持举措；</w:t>
            </w:r>
          </w:p>
          <w:p w14:paraId="5B9ABE80">
            <w:pPr>
              <w:spacing w:line="260" w:lineRule="exact"/>
              <w:jc w:val="left"/>
              <w:textAlignment w:val="center"/>
              <w:rPr>
                <w:rFonts w:eastAsia="仿宋_GB2312"/>
                <w:sz w:val="24"/>
              </w:rPr>
            </w:pPr>
            <w:r>
              <w:rPr>
                <w:rFonts w:eastAsia="仿宋_GB2312"/>
                <w:sz w:val="24"/>
              </w:rPr>
              <w:t>技术委员会支撑作用；科研氛围、学术风气</w:t>
            </w:r>
          </w:p>
        </w:tc>
      </w:tr>
    </w:tbl>
    <w:p w14:paraId="723E5FC5">
      <w:pPr>
        <w:spacing w:line="560" w:lineRule="exact"/>
        <w:ind w:firstLine="640" w:firstLineChars="200"/>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技术攻关类科研</w:t>
      </w:r>
      <w:r>
        <w:rPr>
          <w:rFonts w:hint="eastAsia" w:ascii="Times New Roman" w:hAnsi="Times New Roman" w:eastAsia="仿宋_GB2312" w:cs="Times New Roman"/>
          <w:b/>
          <w:sz w:val="32"/>
          <w:szCs w:val="32"/>
          <w:lang w:eastAsia="zh-CN"/>
        </w:rPr>
        <w:t>平台</w:t>
      </w:r>
      <w:r>
        <w:rPr>
          <w:rFonts w:hint="eastAsia" w:ascii="Times New Roman" w:hAnsi="Times New Roman" w:eastAsia="仿宋_GB2312" w:cs="Times New Roman"/>
          <w:b/>
          <w:sz w:val="32"/>
          <w:szCs w:val="32"/>
        </w:rPr>
        <w:t>考核指标（仅供参考）</w:t>
      </w:r>
    </w:p>
    <w:p w14:paraId="27EC50AF">
      <w:pPr>
        <w:rPr>
          <w:rFonts w:ascii="Times New Roman" w:hAnsi="Times New Roman" w:eastAsia="仿宋_GB2312" w:cs="Times New Roman"/>
          <w:b/>
          <w:sz w:val="32"/>
          <w:szCs w:val="32"/>
        </w:rPr>
      </w:pPr>
      <w:r>
        <w:rPr>
          <w:rFonts w:ascii="Times New Roman" w:hAnsi="Times New Roman" w:eastAsia="仿宋_GB2312" w:cs="Times New Roman"/>
          <w:b/>
          <w:sz w:val="32"/>
          <w:szCs w:val="32"/>
        </w:rPr>
        <w:br w:type="page"/>
      </w:r>
    </w:p>
    <w:p w14:paraId="7F5C3168">
      <w:pPr>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国际合作类科研</w:t>
      </w:r>
      <w:r>
        <w:rPr>
          <w:rFonts w:hint="eastAsia" w:ascii="Times New Roman" w:hAnsi="Times New Roman" w:eastAsia="仿宋_GB2312" w:cs="Times New Roman"/>
          <w:b/>
          <w:sz w:val="32"/>
          <w:szCs w:val="32"/>
          <w:lang w:eastAsia="zh-CN"/>
        </w:rPr>
        <w:t>平台</w:t>
      </w:r>
      <w:r>
        <w:rPr>
          <w:rFonts w:hint="eastAsia" w:ascii="Times New Roman" w:hAnsi="Times New Roman" w:eastAsia="仿宋_GB2312" w:cs="Times New Roman"/>
          <w:b/>
          <w:sz w:val="32"/>
          <w:szCs w:val="32"/>
        </w:rPr>
        <w:t>考核指标（仅供参考）</w:t>
      </w:r>
    </w:p>
    <w:tbl>
      <w:tblPr>
        <w:tblStyle w:val="4"/>
        <w:tblW w:w="114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1984"/>
        <w:gridCol w:w="7938"/>
      </w:tblGrid>
      <w:tr w14:paraId="6EF07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1555" w:type="dxa"/>
            <w:vMerge w:val="restart"/>
            <w:shd w:val="clear" w:color="auto" w:fill="auto"/>
            <w:vAlign w:val="center"/>
          </w:tcPr>
          <w:p w14:paraId="30715CF9">
            <w:pPr>
              <w:adjustRightInd w:val="0"/>
              <w:snapToGrid w:val="0"/>
              <w:jc w:val="center"/>
              <w:rPr>
                <w:rFonts w:eastAsia="黑体"/>
                <w:b w:val="0"/>
                <w:bCs/>
                <w:sz w:val="24"/>
                <w:szCs w:val="21"/>
              </w:rPr>
            </w:pPr>
            <w:r>
              <w:rPr>
                <w:rFonts w:eastAsia="黑体"/>
                <w:b w:val="0"/>
                <w:bCs/>
                <w:sz w:val="24"/>
                <w:szCs w:val="21"/>
              </w:rPr>
              <w:t>一级指标</w:t>
            </w:r>
          </w:p>
        </w:tc>
        <w:tc>
          <w:tcPr>
            <w:tcW w:w="1984" w:type="dxa"/>
            <w:vMerge w:val="restart"/>
            <w:shd w:val="clear" w:color="auto" w:fill="auto"/>
            <w:vAlign w:val="center"/>
          </w:tcPr>
          <w:p w14:paraId="2193CAEC">
            <w:pPr>
              <w:adjustRightInd w:val="0"/>
              <w:snapToGrid w:val="0"/>
              <w:jc w:val="center"/>
              <w:rPr>
                <w:rFonts w:eastAsia="黑体"/>
                <w:b w:val="0"/>
                <w:bCs/>
                <w:sz w:val="24"/>
                <w:szCs w:val="21"/>
              </w:rPr>
            </w:pPr>
            <w:r>
              <w:rPr>
                <w:rFonts w:eastAsia="黑体"/>
                <w:b w:val="0"/>
                <w:bCs/>
                <w:sz w:val="24"/>
                <w:szCs w:val="21"/>
              </w:rPr>
              <w:t>二级指标</w:t>
            </w:r>
          </w:p>
        </w:tc>
        <w:tc>
          <w:tcPr>
            <w:tcW w:w="7938" w:type="dxa"/>
            <w:vMerge w:val="restart"/>
            <w:shd w:val="clear" w:color="auto" w:fill="auto"/>
            <w:vAlign w:val="center"/>
          </w:tcPr>
          <w:p w14:paraId="3DC70CC6">
            <w:pPr>
              <w:adjustRightInd w:val="0"/>
              <w:snapToGrid w:val="0"/>
              <w:jc w:val="center"/>
              <w:rPr>
                <w:rFonts w:eastAsia="黑体"/>
                <w:b w:val="0"/>
                <w:bCs/>
                <w:sz w:val="24"/>
                <w:szCs w:val="21"/>
              </w:rPr>
            </w:pPr>
            <w:r>
              <w:rPr>
                <w:rFonts w:eastAsia="黑体"/>
                <w:b w:val="0"/>
                <w:bCs/>
                <w:sz w:val="24"/>
                <w:szCs w:val="21"/>
              </w:rPr>
              <w:t>三级指标及要素说明</w:t>
            </w:r>
          </w:p>
        </w:tc>
      </w:tr>
      <w:tr w14:paraId="520A7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555" w:type="dxa"/>
            <w:vMerge w:val="continue"/>
            <w:shd w:val="clear" w:color="auto" w:fill="auto"/>
            <w:vAlign w:val="center"/>
          </w:tcPr>
          <w:p w14:paraId="306433C2">
            <w:pPr>
              <w:adjustRightInd w:val="0"/>
              <w:snapToGrid w:val="0"/>
              <w:rPr>
                <w:rFonts w:eastAsia="方正小标宋简体"/>
                <w:b/>
                <w:sz w:val="24"/>
              </w:rPr>
            </w:pPr>
          </w:p>
        </w:tc>
        <w:tc>
          <w:tcPr>
            <w:tcW w:w="1984" w:type="dxa"/>
            <w:vMerge w:val="continue"/>
            <w:shd w:val="clear" w:color="auto" w:fill="auto"/>
            <w:vAlign w:val="center"/>
          </w:tcPr>
          <w:p w14:paraId="37CBA065">
            <w:pPr>
              <w:adjustRightInd w:val="0"/>
              <w:snapToGrid w:val="0"/>
              <w:jc w:val="center"/>
              <w:rPr>
                <w:rFonts w:eastAsia="方正小标宋简体"/>
                <w:b/>
                <w:sz w:val="24"/>
              </w:rPr>
            </w:pPr>
          </w:p>
        </w:tc>
        <w:tc>
          <w:tcPr>
            <w:tcW w:w="7938" w:type="dxa"/>
            <w:vMerge w:val="continue"/>
            <w:shd w:val="clear" w:color="auto" w:fill="auto"/>
            <w:vAlign w:val="center"/>
          </w:tcPr>
          <w:p w14:paraId="0B13C6E2">
            <w:pPr>
              <w:adjustRightInd w:val="0"/>
              <w:snapToGrid w:val="0"/>
              <w:jc w:val="left"/>
              <w:rPr>
                <w:rFonts w:eastAsia="方正小标宋简体"/>
                <w:b/>
                <w:sz w:val="24"/>
              </w:rPr>
            </w:pPr>
          </w:p>
        </w:tc>
      </w:tr>
      <w:tr w14:paraId="3D580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8" w:hRule="atLeast"/>
          <w:jc w:val="center"/>
        </w:trPr>
        <w:tc>
          <w:tcPr>
            <w:tcW w:w="1555" w:type="dxa"/>
            <w:vMerge w:val="restart"/>
            <w:shd w:val="clear" w:color="auto" w:fill="auto"/>
            <w:vAlign w:val="center"/>
          </w:tcPr>
          <w:p w14:paraId="05E09E5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基本条件和定位</w:t>
            </w:r>
          </w:p>
        </w:tc>
        <w:tc>
          <w:tcPr>
            <w:tcW w:w="1984" w:type="dxa"/>
            <w:shd w:val="clear" w:color="auto" w:fill="auto"/>
            <w:vAlign w:val="center"/>
          </w:tcPr>
          <w:p w14:paraId="4CFEC60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国内实验室依托</w:t>
            </w:r>
          </w:p>
        </w:tc>
        <w:tc>
          <w:tcPr>
            <w:tcW w:w="7938" w:type="dxa"/>
            <w:shd w:val="clear" w:color="auto" w:fill="auto"/>
            <w:vAlign w:val="center"/>
          </w:tcPr>
          <w:p w14:paraId="7FF8E5BD">
            <w:pPr>
              <w:numPr>
                <w:ilvl w:val="0"/>
                <w:numId w:val="1"/>
              </w:num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国家实验室、国家重大科技基础设施、国家重点实验室、国家工程（技术）研究中心、111引智基地</w:t>
            </w:r>
          </w:p>
          <w:p w14:paraId="3129DD50">
            <w:pPr>
              <w:numPr>
                <w:ilvl w:val="0"/>
                <w:numId w:val="1"/>
              </w:num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教育部重点实验室、教育部工程研究中心</w:t>
            </w:r>
          </w:p>
          <w:p w14:paraId="364D12F0">
            <w:pPr>
              <w:numPr>
                <w:ilvl w:val="0"/>
                <w:numId w:val="1"/>
              </w:num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优秀类省部级重点实验室</w:t>
            </w:r>
          </w:p>
          <w:p w14:paraId="39276390">
            <w:pPr>
              <w:numPr>
                <w:ilvl w:val="0"/>
                <w:numId w:val="1"/>
              </w:num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高水平新型科研机构</w:t>
            </w:r>
          </w:p>
        </w:tc>
      </w:tr>
      <w:tr w14:paraId="2B2E0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1555" w:type="dxa"/>
            <w:vMerge w:val="continue"/>
            <w:shd w:val="clear" w:color="auto" w:fill="auto"/>
            <w:vAlign w:val="center"/>
          </w:tcPr>
          <w:p w14:paraId="4000CA32">
            <w:pPr>
              <w:adjustRightInd w:val="0"/>
              <w:snapToGrid w:val="0"/>
              <w:jc w:val="center"/>
              <w:rPr>
                <w:rFonts w:hint="eastAsia" w:ascii="仿宋" w:hAnsi="仿宋" w:eastAsia="仿宋" w:cs="仿宋"/>
                <w:sz w:val="24"/>
                <w:szCs w:val="24"/>
              </w:rPr>
            </w:pPr>
          </w:p>
        </w:tc>
        <w:tc>
          <w:tcPr>
            <w:tcW w:w="1984" w:type="dxa"/>
            <w:shd w:val="clear" w:color="auto" w:fill="auto"/>
            <w:vAlign w:val="center"/>
          </w:tcPr>
          <w:p w14:paraId="29598CC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国外实验室依托</w:t>
            </w:r>
          </w:p>
        </w:tc>
        <w:tc>
          <w:tcPr>
            <w:tcW w:w="7938" w:type="dxa"/>
            <w:shd w:val="clear" w:color="auto" w:fill="auto"/>
            <w:vAlign w:val="center"/>
          </w:tcPr>
          <w:p w14:paraId="21F09E0E">
            <w:pPr>
              <w:numPr>
                <w:ilvl w:val="0"/>
                <w:numId w:val="2"/>
              </w:num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国家实验室、国家级科学中心</w:t>
            </w:r>
          </w:p>
          <w:p w14:paraId="1BDE766C">
            <w:pPr>
              <w:numPr>
                <w:ilvl w:val="0"/>
                <w:numId w:val="2"/>
              </w:num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学校成立的实验室/研究中心/院系</w:t>
            </w:r>
          </w:p>
        </w:tc>
      </w:tr>
      <w:tr w14:paraId="5A6FD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jc w:val="center"/>
        </w:trPr>
        <w:tc>
          <w:tcPr>
            <w:tcW w:w="1555" w:type="dxa"/>
            <w:vMerge w:val="continue"/>
            <w:shd w:val="clear" w:color="auto" w:fill="auto"/>
            <w:vAlign w:val="center"/>
          </w:tcPr>
          <w:p w14:paraId="7C5A5C60">
            <w:pPr>
              <w:adjustRightInd w:val="0"/>
              <w:snapToGrid w:val="0"/>
              <w:jc w:val="center"/>
              <w:rPr>
                <w:rFonts w:hint="eastAsia" w:ascii="仿宋" w:hAnsi="仿宋" w:eastAsia="仿宋" w:cs="仿宋"/>
                <w:sz w:val="24"/>
                <w:szCs w:val="24"/>
              </w:rPr>
            </w:pPr>
          </w:p>
        </w:tc>
        <w:tc>
          <w:tcPr>
            <w:tcW w:w="1984" w:type="dxa"/>
            <w:shd w:val="clear" w:color="auto" w:fill="auto"/>
            <w:vAlign w:val="center"/>
          </w:tcPr>
          <w:p w14:paraId="6E898A5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联合实验室协议</w:t>
            </w:r>
          </w:p>
        </w:tc>
        <w:tc>
          <w:tcPr>
            <w:tcW w:w="7938" w:type="dxa"/>
            <w:shd w:val="clear" w:color="auto" w:fill="auto"/>
            <w:vAlign w:val="center"/>
          </w:tcPr>
          <w:p w14:paraId="27CB0CBC">
            <w:pPr>
              <w:numPr>
                <w:ilvl w:val="0"/>
                <w:numId w:val="3"/>
              </w:num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学校与学校之间签署具有法律效应的联合实验室协议或相同级别的协议</w:t>
            </w:r>
          </w:p>
          <w:p w14:paraId="750CDAC3">
            <w:pPr>
              <w:numPr>
                <w:ilvl w:val="0"/>
                <w:numId w:val="3"/>
              </w:num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实验室与实验室之间签署协同工作计划协议</w:t>
            </w:r>
          </w:p>
        </w:tc>
      </w:tr>
      <w:tr w14:paraId="0BBD6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4" w:hRule="atLeast"/>
          <w:jc w:val="center"/>
        </w:trPr>
        <w:tc>
          <w:tcPr>
            <w:tcW w:w="1555" w:type="dxa"/>
            <w:vMerge w:val="restart"/>
            <w:shd w:val="clear" w:color="auto" w:fill="auto"/>
            <w:vAlign w:val="center"/>
          </w:tcPr>
          <w:p w14:paraId="35DC973C">
            <w:pPr>
              <w:adjustRightInd w:val="0"/>
              <w:snapToGrid w:val="0"/>
              <w:rPr>
                <w:rFonts w:hint="eastAsia" w:ascii="仿宋" w:hAnsi="仿宋" w:eastAsia="仿宋" w:cs="仿宋"/>
                <w:sz w:val="24"/>
                <w:szCs w:val="24"/>
              </w:rPr>
            </w:pPr>
            <w:r>
              <w:rPr>
                <w:rFonts w:hint="eastAsia" w:ascii="仿宋" w:hAnsi="仿宋" w:eastAsia="仿宋" w:cs="仿宋"/>
                <w:sz w:val="24"/>
                <w:szCs w:val="24"/>
              </w:rPr>
              <w:t>基本建设保障能力</w:t>
            </w:r>
          </w:p>
        </w:tc>
        <w:tc>
          <w:tcPr>
            <w:tcW w:w="1984" w:type="dxa"/>
            <w:shd w:val="clear" w:color="auto" w:fill="auto"/>
            <w:vAlign w:val="center"/>
          </w:tcPr>
          <w:p w14:paraId="2EC0B60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建筑空间与环境</w:t>
            </w:r>
          </w:p>
        </w:tc>
        <w:tc>
          <w:tcPr>
            <w:tcW w:w="7938" w:type="dxa"/>
            <w:shd w:val="clear" w:color="auto" w:fill="auto"/>
            <w:vAlign w:val="center"/>
          </w:tcPr>
          <w:p w14:paraId="4302716F">
            <w:pPr>
              <w:pStyle w:val="12"/>
              <w:numPr>
                <w:ilvl w:val="0"/>
                <w:numId w:val="4"/>
              </w:numPr>
              <w:adjustRightInd w:val="0"/>
              <w:snapToGrid w:val="0"/>
              <w:ind w:firstLineChars="0"/>
              <w:jc w:val="left"/>
              <w:rPr>
                <w:rFonts w:hint="eastAsia" w:ascii="仿宋" w:hAnsi="仿宋" w:eastAsia="仿宋" w:cs="仿宋"/>
                <w:sz w:val="24"/>
                <w:szCs w:val="24"/>
              </w:rPr>
            </w:pPr>
            <w:r>
              <w:rPr>
                <w:rFonts w:hint="eastAsia" w:ascii="仿宋" w:hAnsi="仿宋" w:eastAsia="仿宋" w:cs="仿宋"/>
                <w:sz w:val="24"/>
                <w:szCs w:val="24"/>
              </w:rPr>
              <w:t>充分满足联合实验室开展国际化科学研究、学科建设、人才培养、学术交流所需的建筑空间</w:t>
            </w:r>
          </w:p>
          <w:p w14:paraId="5BF133CE">
            <w:pPr>
              <w:pStyle w:val="12"/>
              <w:numPr>
                <w:ilvl w:val="0"/>
                <w:numId w:val="4"/>
              </w:numPr>
              <w:adjustRightInd w:val="0"/>
              <w:snapToGrid w:val="0"/>
              <w:ind w:firstLineChars="0"/>
              <w:jc w:val="left"/>
              <w:rPr>
                <w:rFonts w:hint="eastAsia" w:ascii="仿宋" w:hAnsi="仿宋" w:eastAsia="仿宋" w:cs="仿宋"/>
                <w:sz w:val="24"/>
                <w:szCs w:val="24"/>
              </w:rPr>
            </w:pPr>
            <w:r>
              <w:rPr>
                <w:rFonts w:hint="eastAsia" w:ascii="仿宋" w:hAnsi="仿宋" w:eastAsia="仿宋" w:cs="仿宋"/>
                <w:sz w:val="24"/>
                <w:szCs w:val="24"/>
              </w:rPr>
              <w:t>具备相对独立集中的教学、科研、交流和办公用房</w:t>
            </w:r>
          </w:p>
          <w:p w14:paraId="70873B1C">
            <w:pPr>
              <w:pStyle w:val="12"/>
              <w:numPr>
                <w:ilvl w:val="0"/>
                <w:numId w:val="4"/>
              </w:numPr>
              <w:adjustRightInd w:val="0"/>
              <w:snapToGrid w:val="0"/>
              <w:ind w:firstLineChars="0"/>
              <w:jc w:val="left"/>
              <w:rPr>
                <w:rFonts w:hint="eastAsia" w:ascii="仿宋" w:hAnsi="仿宋" w:eastAsia="仿宋" w:cs="仿宋"/>
                <w:sz w:val="24"/>
                <w:szCs w:val="24"/>
              </w:rPr>
            </w:pPr>
            <w:r>
              <w:rPr>
                <w:rFonts w:hint="eastAsia" w:ascii="仿宋" w:hAnsi="仿宋" w:eastAsia="仿宋" w:cs="仿宋"/>
                <w:sz w:val="24"/>
                <w:szCs w:val="24"/>
              </w:rPr>
              <w:t>提供与国外条件可比的留学和外专公寓</w:t>
            </w:r>
          </w:p>
          <w:p w14:paraId="3396E87A">
            <w:pPr>
              <w:pStyle w:val="12"/>
              <w:numPr>
                <w:ilvl w:val="0"/>
                <w:numId w:val="4"/>
              </w:numPr>
              <w:adjustRightInd w:val="0"/>
              <w:snapToGrid w:val="0"/>
              <w:ind w:firstLineChars="0"/>
              <w:jc w:val="left"/>
              <w:rPr>
                <w:rFonts w:hint="eastAsia" w:ascii="仿宋" w:hAnsi="仿宋" w:eastAsia="仿宋" w:cs="仿宋"/>
                <w:sz w:val="24"/>
                <w:szCs w:val="24"/>
              </w:rPr>
            </w:pPr>
            <w:r>
              <w:rPr>
                <w:rFonts w:hint="eastAsia" w:ascii="仿宋" w:hAnsi="仿宋" w:eastAsia="仿宋" w:cs="仿宋"/>
                <w:sz w:val="24"/>
                <w:szCs w:val="24"/>
              </w:rPr>
              <w:t>保持一流的自然和学术环境</w:t>
            </w:r>
          </w:p>
        </w:tc>
      </w:tr>
      <w:tr w14:paraId="3DFE5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6" w:hRule="atLeast"/>
          <w:jc w:val="center"/>
        </w:trPr>
        <w:tc>
          <w:tcPr>
            <w:tcW w:w="1555" w:type="dxa"/>
            <w:vMerge w:val="continue"/>
            <w:shd w:val="clear" w:color="auto" w:fill="auto"/>
            <w:vAlign w:val="center"/>
          </w:tcPr>
          <w:p w14:paraId="3ABFEF4C">
            <w:pPr>
              <w:adjustRightInd w:val="0"/>
              <w:snapToGrid w:val="0"/>
              <w:rPr>
                <w:rFonts w:hint="eastAsia" w:ascii="仿宋" w:hAnsi="仿宋" w:eastAsia="仿宋" w:cs="仿宋"/>
                <w:sz w:val="24"/>
                <w:szCs w:val="24"/>
              </w:rPr>
            </w:pPr>
          </w:p>
        </w:tc>
        <w:tc>
          <w:tcPr>
            <w:tcW w:w="1984" w:type="dxa"/>
            <w:shd w:val="clear" w:color="auto" w:fill="auto"/>
            <w:vAlign w:val="center"/>
          </w:tcPr>
          <w:p w14:paraId="5A08CE0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仪器设备</w:t>
            </w:r>
          </w:p>
        </w:tc>
        <w:tc>
          <w:tcPr>
            <w:tcW w:w="7938" w:type="dxa"/>
            <w:shd w:val="clear" w:color="auto" w:fill="auto"/>
            <w:vAlign w:val="center"/>
          </w:tcPr>
          <w:p w14:paraId="4A01EB11">
            <w:pPr>
              <w:pStyle w:val="12"/>
              <w:numPr>
                <w:ilvl w:val="0"/>
                <w:numId w:val="5"/>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具备开展高水平科研实验的仪器设备，满足实验室发展的需要</w:t>
            </w:r>
          </w:p>
          <w:p w14:paraId="549478DF">
            <w:pPr>
              <w:pStyle w:val="12"/>
              <w:numPr>
                <w:ilvl w:val="0"/>
                <w:numId w:val="5"/>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联合实验室仪器设备充分开放共享，制定了科学规范的仪器设备管理制度</w:t>
            </w:r>
          </w:p>
          <w:p w14:paraId="50D6B044">
            <w:pPr>
              <w:pStyle w:val="12"/>
              <w:numPr>
                <w:ilvl w:val="0"/>
                <w:numId w:val="5"/>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配备高水平技术支撑队伍</w:t>
            </w:r>
          </w:p>
        </w:tc>
      </w:tr>
      <w:tr w14:paraId="2354F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1555" w:type="dxa"/>
            <w:vMerge w:val="continue"/>
            <w:shd w:val="clear" w:color="auto" w:fill="auto"/>
            <w:vAlign w:val="center"/>
          </w:tcPr>
          <w:p w14:paraId="4CEF8D01">
            <w:pPr>
              <w:adjustRightInd w:val="0"/>
              <w:snapToGrid w:val="0"/>
              <w:rPr>
                <w:sz w:val="24"/>
              </w:rPr>
            </w:pPr>
          </w:p>
        </w:tc>
        <w:tc>
          <w:tcPr>
            <w:tcW w:w="1984" w:type="dxa"/>
            <w:shd w:val="clear" w:color="auto" w:fill="auto"/>
            <w:vAlign w:val="center"/>
          </w:tcPr>
          <w:p w14:paraId="13C932F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网络、图书、资源库、数据库</w:t>
            </w:r>
          </w:p>
        </w:tc>
        <w:tc>
          <w:tcPr>
            <w:tcW w:w="7938" w:type="dxa"/>
            <w:shd w:val="clear" w:color="auto" w:fill="auto"/>
            <w:vAlign w:val="center"/>
          </w:tcPr>
          <w:p w14:paraId="4A91C4F8">
            <w:pPr>
              <w:pStyle w:val="12"/>
              <w:numPr>
                <w:ilvl w:val="0"/>
                <w:numId w:val="6"/>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网络、图书充分满足联合实验室科研、教学和学术交流需要</w:t>
            </w:r>
          </w:p>
          <w:p w14:paraId="7F632CFB">
            <w:pPr>
              <w:pStyle w:val="12"/>
              <w:numPr>
                <w:ilvl w:val="0"/>
                <w:numId w:val="6"/>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高水平建设各种资源库和数据库</w:t>
            </w:r>
          </w:p>
          <w:p w14:paraId="3FBAF4AC">
            <w:pPr>
              <w:pStyle w:val="12"/>
              <w:numPr>
                <w:ilvl w:val="0"/>
                <w:numId w:val="6"/>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配备一流国际视频会议系统</w:t>
            </w:r>
          </w:p>
        </w:tc>
      </w:tr>
      <w:tr w14:paraId="23334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jc w:val="center"/>
        </w:trPr>
        <w:tc>
          <w:tcPr>
            <w:tcW w:w="1555" w:type="dxa"/>
            <w:vMerge w:val="continue"/>
            <w:shd w:val="clear" w:color="auto" w:fill="auto"/>
            <w:vAlign w:val="center"/>
          </w:tcPr>
          <w:p w14:paraId="6C8E743F">
            <w:pPr>
              <w:adjustRightInd w:val="0"/>
              <w:snapToGrid w:val="0"/>
              <w:rPr>
                <w:sz w:val="24"/>
              </w:rPr>
            </w:pPr>
          </w:p>
        </w:tc>
        <w:tc>
          <w:tcPr>
            <w:tcW w:w="1984" w:type="dxa"/>
            <w:shd w:val="clear" w:color="auto" w:fill="auto"/>
            <w:vAlign w:val="center"/>
          </w:tcPr>
          <w:p w14:paraId="556C77B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专项资金投入</w:t>
            </w:r>
          </w:p>
        </w:tc>
        <w:tc>
          <w:tcPr>
            <w:tcW w:w="7938" w:type="dxa"/>
            <w:shd w:val="clear" w:color="auto" w:fill="auto"/>
            <w:vAlign w:val="center"/>
          </w:tcPr>
          <w:p w14:paraId="26325336">
            <w:pPr>
              <w:pStyle w:val="12"/>
              <w:numPr>
                <w:ilvl w:val="0"/>
                <w:numId w:val="7"/>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国内依托单位设立联合实验室专项投入资金</w:t>
            </w:r>
          </w:p>
          <w:p w14:paraId="33997868">
            <w:pPr>
              <w:pStyle w:val="12"/>
              <w:numPr>
                <w:ilvl w:val="0"/>
                <w:numId w:val="7"/>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包括设立协同创新种子基金、国际访问学者基金及国际访问学生奖学金等</w:t>
            </w:r>
          </w:p>
        </w:tc>
      </w:tr>
      <w:tr w14:paraId="3289C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1555" w:type="dxa"/>
            <w:vMerge w:val="restart"/>
            <w:shd w:val="clear" w:color="auto" w:fill="auto"/>
            <w:vAlign w:val="center"/>
          </w:tcPr>
          <w:p w14:paraId="1DABDEF1">
            <w:pPr>
              <w:adjustRightInd w:val="0"/>
              <w:snapToGrid w:val="0"/>
              <w:rPr>
                <w:rFonts w:hint="eastAsia" w:ascii="仿宋" w:hAnsi="仿宋" w:eastAsia="仿宋" w:cs="仿宋"/>
                <w:sz w:val="24"/>
              </w:rPr>
            </w:pPr>
            <w:r>
              <w:rPr>
                <w:rFonts w:hint="eastAsia" w:ascii="仿宋" w:hAnsi="仿宋" w:eastAsia="仿宋" w:cs="仿宋"/>
                <w:sz w:val="24"/>
              </w:rPr>
              <w:t>学科建设与人才培养支撑能力</w:t>
            </w:r>
          </w:p>
        </w:tc>
        <w:tc>
          <w:tcPr>
            <w:tcW w:w="1984" w:type="dxa"/>
            <w:shd w:val="clear" w:color="auto" w:fill="auto"/>
            <w:vAlign w:val="center"/>
          </w:tcPr>
          <w:p w14:paraId="2EB2F5A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学科建设水平及影响力</w:t>
            </w:r>
          </w:p>
        </w:tc>
        <w:tc>
          <w:tcPr>
            <w:tcW w:w="7938" w:type="dxa"/>
            <w:shd w:val="clear" w:color="auto" w:fill="auto"/>
            <w:vAlign w:val="center"/>
          </w:tcPr>
          <w:p w14:paraId="189C6ADE">
            <w:pPr>
              <w:pStyle w:val="13"/>
              <w:numPr>
                <w:ilvl w:val="0"/>
                <w:numId w:val="8"/>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联合实验室依托的主要学科建设水平处于国内一流水平或国际先进水平</w:t>
            </w:r>
          </w:p>
          <w:p w14:paraId="4068F54B">
            <w:pPr>
              <w:pStyle w:val="13"/>
              <w:numPr>
                <w:ilvl w:val="0"/>
                <w:numId w:val="8"/>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引领支撑国家和区域重大战略需求</w:t>
            </w:r>
          </w:p>
          <w:p w14:paraId="7F27FD16">
            <w:pPr>
              <w:pStyle w:val="13"/>
              <w:numPr>
                <w:ilvl w:val="0"/>
                <w:numId w:val="8"/>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具有重要国际学术影响力</w:t>
            </w:r>
          </w:p>
        </w:tc>
      </w:tr>
      <w:tr w14:paraId="515EF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5" w:hRule="atLeast"/>
          <w:jc w:val="center"/>
        </w:trPr>
        <w:tc>
          <w:tcPr>
            <w:tcW w:w="1555" w:type="dxa"/>
            <w:vMerge w:val="continue"/>
            <w:shd w:val="clear" w:color="auto" w:fill="auto"/>
            <w:vAlign w:val="center"/>
          </w:tcPr>
          <w:p w14:paraId="5AA7781A">
            <w:pPr>
              <w:adjustRightInd w:val="0"/>
              <w:snapToGrid w:val="0"/>
              <w:rPr>
                <w:rFonts w:hint="eastAsia" w:ascii="仿宋" w:hAnsi="仿宋" w:eastAsia="仿宋" w:cs="仿宋"/>
                <w:sz w:val="24"/>
              </w:rPr>
            </w:pPr>
          </w:p>
        </w:tc>
        <w:tc>
          <w:tcPr>
            <w:tcW w:w="1984" w:type="dxa"/>
            <w:shd w:val="clear" w:color="auto" w:fill="auto"/>
            <w:vAlign w:val="center"/>
          </w:tcPr>
          <w:p w14:paraId="0BBDD02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教学质量与课程体系建设</w:t>
            </w:r>
          </w:p>
        </w:tc>
        <w:tc>
          <w:tcPr>
            <w:tcW w:w="7938" w:type="dxa"/>
            <w:shd w:val="clear" w:color="auto" w:fill="auto"/>
            <w:vAlign w:val="center"/>
          </w:tcPr>
          <w:p w14:paraId="6B347911">
            <w:pPr>
              <w:pStyle w:val="13"/>
              <w:numPr>
                <w:ilvl w:val="0"/>
                <w:numId w:val="9"/>
              </w:numPr>
              <w:adjustRightInd w:val="0"/>
              <w:snapToGrid w:val="0"/>
              <w:ind w:firstLineChars="0"/>
              <w:jc w:val="left"/>
              <w:rPr>
                <w:rFonts w:hint="eastAsia" w:ascii="仿宋" w:hAnsi="仿宋" w:eastAsia="仿宋" w:cs="仿宋"/>
                <w:sz w:val="24"/>
                <w:szCs w:val="24"/>
              </w:rPr>
            </w:pPr>
            <w:r>
              <w:rPr>
                <w:rFonts w:hint="eastAsia" w:ascii="仿宋" w:hAnsi="仿宋" w:eastAsia="仿宋" w:cs="仿宋"/>
                <w:sz w:val="24"/>
                <w:szCs w:val="24"/>
              </w:rPr>
              <w:t>建立双语或外语教学体系</w:t>
            </w:r>
          </w:p>
          <w:p w14:paraId="1313AC2F">
            <w:pPr>
              <w:pStyle w:val="13"/>
              <w:numPr>
                <w:ilvl w:val="0"/>
                <w:numId w:val="9"/>
              </w:numPr>
              <w:adjustRightInd w:val="0"/>
              <w:snapToGrid w:val="0"/>
              <w:ind w:firstLineChars="0"/>
              <w:jc w:val="left"/>
              <w:rPr>
                <w:rFonts w:hint="eastAsia" w:ascii="仿宋" w:hAnsi="仿宋" w:eastAsia="仿宋" w:cs="仿宋"/>
                <w:sz w:val="24"/>
                <w:szCs w:val="24"/>
              </w:rPr>
            </w:pPr>
            <w:r>
              <w:rPr>
                <w:rFonts w:hint="eastAsia" w:ascii="仿宋" w:hAnsi="仿宋" w:eastAsia="仿宋" w:cs="仿宋"/>
                <w:sz w:val="24"/>
                <w:szCs w:val="24"/>
              </w:rPr>
              <w:t xml:space="preserve">建设国际一流的课程体系 </w:t>
            </w:r>
          </w:p>
          <w:p w14:paraId="31D4CE00">
            <w:pPr>
              <w:pStyle w:val="13"/>
              <w:numPr>
                <w:ilvl w:val="0"/>
                <w:numId w:val="9"/>
              </w:numPr>
              <w:adjustRightInd w:val="0"/>
              <w:snapToGrid w:val="0"/>
              <w:ind w:firstLineChars="0"/>
              <w:jc w:val="left"/>
              <w:rPr>
                <w:rFonts w:hint="eastAsia" w:ascii="仿宋" w:hAnsi="仿宋" w:eastAsia="仿宋" w:cs="仿宋"/>
                <w:sz w:val="24"/>
                <w:szCs w:val="24"/>
              </w:rPr>
            </w:pPr>
            <w:r>
              <w:rPr>
                <w:rFonts w:hint="eastAsia" w:ascii="仿宋" w:hAnsi="仿宋" w:eastAsia="仿宋" w:cs="仿宋"/>
                <w:sz w:val="24"/>
                <w:szCs w:val="24"/>
              </w:rPr>
              <w:t>外国专家为本科生和研究生开始课程或开展讲座</w:t>
            </w:r>
          </w:p>
          <w:p w14:paraId="0721F397">
            <w:pPr>
              <w:pStyle w:val="13"/>
              <w:numPr>
                <w:ilvl w:val="0"/>
                <w:numId w:val="9"/>
              </w:numPr>
              <w:adjustRightInd w:val="0"/>
              <w:snapToGrid w:val="0"/>
              <w:ind w:firstLineChars="0"/>
              <w:jc w:val="left"/>
              <w:rPr>
                <w:rFonts w:hint="eastAsia" w:ascii="仿宋" w:hAnsi="仿宋" w:eastAsia="仿宋" w:cs="仿宋"/>
                <w:sz w:val="24"/>
                <w:szCs w:val="24"/>
              </w:rPr>
            </w:pPr>
            <w:r>
              <w:rPr>
                <w:rFonts w:hint="eastAsia" w:ascii="仿宋" w:hAnsi="仿宋" w:eastAsia="仿宋" w:cs="仿宋"/>
                <w:sz w:val="24"/>
                <w:szCs w:val="24"/>
              </w:rPr>
              <w:t>教学质量处于一流水平</w:t>
            </w:r>
          </w:p>
        </w:tc>
      </w:tr>
      <w:tr w14:paraId="52383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jc w:val="center"/>
        </w:trPr>
        <w:tc>
          <w:tcPr>
            <w:tcW w:w="1555" w:type="dxa"/>
            <w:vMerge w:val="continue"/>
            <w:shd w:val="clear" w:color="auto" w:fill="auto"/>
            <w:vAlign w:val="center"/>
          </w:tcPr>
          <w:p w14:paraId="0CD02F5F">
            <w:pPr>
              <w:adjustRightInd w:val="0"/>
              <w:snapToGrid w:val="0"/>
              <w:rPr>
                <w:rFonts w:hint="eastAsia" w:ascii="仿宋" w:hAnsi="仿宋" w:eastAsia="仿宋" w:cs="仿宋"/>
                <w:sz w:val="24"/>
              </w:rPr>
            </w:pPr>
          </w:p>
        </w:tc>
        <w:tc>
          <w:tcPr>
            <w:tcW w:w="1984" w:type="dxa"/>
            <w:shd w:val="clear" w:color="auto" w:fill="auto"/>
            <w:vAlign w:val="center"/>
          </w:tcPr>
          <w:p w14:paraId="29AC8F8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联合培养人才</w:t>
            </w:r>
          </w:p>
        </w:tc>
        <w:tc>
          <w:tcPr>
            <w:tcW w:w="7938" w:type="dxa"/>
            <w:shd w:val="clear" w:color="auto" w:fill="auto"/>
            <w:vAlign w:val="center"/>
          </w:tcPr>
          <w:p w14:paraId="6A442285">
            <w:pPr>
              <w:pStyle w:val="13"/>
              <w:numPr>
                <w:ilvl w:val="0"/>
                <w:numId w:val="10"/>
              </w:numPr>
              <w:adjustRightInd w:val="0"/>
              <w:snapToGrid w:val="0"/>
              <w:ind w:firstLineChars="0"/>
              <w:jc w:val="left"/>
              <w:rPr>
                <w:rFonts w:hint="eastAsia" w:ascii="仿宋" w:hAnsi="仿宋" w:eastAsia="仿宋" w:cs="仿宋"/>
                <w:sz w:val="24"/>
                <w:szCs w:val="24"/>
              </w:rPr>
            </w:pPr>
            <w:r>
              <w:rPr>
                <w:rFonts w:hint="eastAsia" w:ascii="仿宋" w:hAnsi="仿宋" w:eastAsia="仿宋" w:cs="仿宋"/>
                <w:sz w:val="24"/>
                <w:szCs w:val="24"/>
              </w:rPr>
              <w:t>建立本科生、研究生联合培养机制，交换访学制度完善</w:t>
            </w:r>
          </w:p>
          <w:p w14:paraId="1FF6B416">
            <w:pPr>
              <w:pStyle w:val="13"/>
              <w:numPr>
                <w:ilvl w:val="0"/>
                <w:numId w:val="10"/>
              </w:numPr>
              <w:adjustRightInd w:val="0"/>
              <w:snapToGrid w:val="0"/>
              <w:ind w:firstLineChars="0"/>
              <w:jc w:val="left"/>
              <w:rPr>
                <w:rFonts w:hint="eastAsia" w:ascii="仿宋" w:hAnsi="仿宋" w:eastAsia="仿宋" w:cs="仿宋"/>
                <w:sz w:val="24"/>
                <w:szCs w:val="24"/>
              </w:rPr>
            </w:pPr>
            <w:r>
              <w:rPr>
                <w:rFonts w:hint="eastAsia" w:ascii="仿宋" w:hAnsi="仿宋" w:eastAsia="仿宋" w:cs="仿宋"/>
                <w:sz w:val="24"/>
                <w:szCs w:val="24"/>
              </w:rPr>
              <w:t>积极吸引留学生，逐步扩大留学生比例</w:t>
            </w:r>
          </w:p>
          <w:p w14:paraId="10CA6541">
            <w:pPr>
              <w:pStyle w:val="13"/>
              <w:numPr>
                <w:ilvl w:val="0"/>
                <w:numId w:val="10"/>
              </w:numPr>
              <w:adjustRightInd w:val="0"/>
              <w:snapToGrid w:val="0"/>
              <w:ind w:firstLineChars="0"/>
              <w:jc w:val="left"/>
              <w:rPr>
                <w:rFonts w:hint="eastAsia" w:ascii="仿宋" w:hAnsi="仿宋" w:eastAsia="仿宋" w:cs="仿宋"/>
                <w:sz w:val="24"/>
                <w:szCs w:val="24"/>
              </w:rPr>
            </w:pPr>
            <w:r>
              <w:rPr>
                <w:rFonts w:hint="eastAsia" w:ascii="仿宋" w:hAnsi="仿宋" w:eastAsia="仿宋" w:cs="仿宋"/>
                <w:sz w:val="24"/>
                <w:szCs w:val="24"/>
              </w:rPr>
              <w:t>设立奖学金，接受国际学生申请学位教育</w:t>
            </w:r>
          </w:p>
        </w:tc>
      </w:tr>
      <w:tr w14:paraId="5D5EB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1555" w:type="dxa"/>
            <w:vMerge w:val="restart"/>
            <w:shd w:val="clear" w:color="auto" w:fill="auto"/>
            <w:vAlign w:val="center"/>
          </w:tcPr>
          <w:p w14:paraId="3D9EC9B7">
            <w:pPr>
              <w:adjustRightInd w:val="0"/>
              <w:snapToGrid w:val="0"/>
              <w:rPr>
                <w:rFonts w:hint="eastAsia" w:ascii="仿宋" w:hAnsi="仿宋" w:eastAsia="仿宋" w:cs="仿宋"/>
                <w:sz w:val="24"/>
                <w:szCs w:val="24"/>
              </w:rPr>
            </w:pPr>
            <w:r>
              <w:rPr>
                <w:rFonts w:hint="eastAsia" w:ascii="仿宋" w:hAnsi="仿宋" w:eastAsia="仿宋" w:cs="仿宋"/>
                <w:sz w:val="24"/>
                <w:szCs w:val="24"/>
              </w:rPr>
              <w:t>科研与协同创新能力</w:t>
            </w:r>
          </w:p>
        </w:tc>
        <w:tc>
          <w:tcPr>
            <w:tcW w:w="1984" w:type="dxa"/>
            <w:shd w:val="clear" w:color="auto" w:fill="auto"/>
            <w:vAlign w:val="center"/>
          </w:tcPr>
          <w:p w14:paraId="051D301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组织科研任务</w:t>
            </w:r>
          </w:p>
        </w:tc>
        <w:tc>
          <w:tcPr>
            <w:tcW w:w="7938" w:type="dxa"/>
            <w:shd w:val="clear" w:color="auto" w:fill="auto"/>
            <w:vAlign w:val="center"/>
          </w:tcPr>
          <w:p w14:paraId="33984112">
            <w:pPr>
              <w:pStyle w:val="12"/>
              <w:numPr>
                <w:ilvl w:val="0"/>
                <w:numId w:val="11"/>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组织承担国际和区域性的科研项目、大科学计划和大科学工程</w:t>
            </w:r>
          </w:p>
          <w:p w14:paraId="445F2ED5">
            <w:pPr>
              <w:pStyle w:val="12"/>
              <w:numPr>
                <w:ilvl w:val="0"/>
                <w:numId w:val="11"/>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组织承担国家国际合作项目</w:t>
            </w:r>
          </w:p>
          <w:p w14:paraId="78F18728">
            <w:pPr>
              <w:pStyle w:val="12"/>
              <w:numPr>
                <w:ilvl w:val="0"/>
                <w:numId w:val="11"/>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组织承担地方、行业、企业国际合作项目</w:t>
            </w:r>
          </w:p>
        </w:tc>
      </w:tr>
      <w:tr w14:paraId="249C7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555" w:type="dxa"/>
            <w:vMerge w:val="continue"/>
            <w:shd w:val="clear" w:color="auto" w:fill="auto"/>
            <w:vAlign w:val="center"/>
          </w:tcPr>
          <w:p w14:paraId="08B89FD9">
            <w:pPr>
              <w:adjustRightInd w:val="0"/>
              <w:snapToGrid w:val="0"/>
              <w:rPr>
                <w:rFonts w:hint="eastAsia" w:ascii="仿宋" w:hAnsi="仿宋" w:eastAsia="仿宋" w:cs="仿宋"/>
                <w:sz w:val="24"/>
                <w:szCs w:val="24"/>
              </w:rPr>
            </w:pPr>
          </w:p>
        </w:tc>
        <w:tc>
          <w:tcPr>
            <w:tcW w:w="1984" w:type="dxa"/>
            <w:shd w:val="clear" w:color="auto" w:fill="auto"/>
            <w:vAlign w:val="center"/>
          </w:tcPr>
          <w:p w14:paraId="3AA7AE9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国际化学术团队建设</w:t>
            </w:r>
          </w:p>
        </w:tc>
        <w:tc>
          <w:tcPr>
            <w:tcW w:w="7938" w:type="dxa"/>
            <w:shd w:val="clear" w:color="auto" w:fill="auto"/>
            <w:vAlign w:val="center"/>
          </w:tcPr>
          <w:p w14:paraId="3C6A90E5">
            <w:pPr>
              <w:pStyle w:val="13"/>
              <w:numPr>
                <w:ilvl w:val="0"/>
                <w:numId w:val="12"/>
              </w:numPr>
              <w:adjustRightInd w:val="0"/>
              <w:snapToGrid w:val="0"/>
              <w:ind w:firstLineChars="0"/>
              <w:jc w:val="left"/>
              <w:rPr>
                <w:rFonts w:hint="eastAsia" w:ascii="仿宋" w:hAnsi="仿宋" w:eastAsia="仿宋" w:cs="仿宋"/>
                <w:sz w:val="24"/>
                <w:szCs w:val="24"/>
              </w:rPr>
            </w:pPr>
            <w:r>
              <w:rPr>
                <w:rFonts w:hint="eastAsia" w:ascii="仿宋" w:hAnsi="仿宋" w:eastAsia="仿宋" w:cs="仿宋"/>
                <w:sz w:val="24"/>
                <w:szCs w:val="24"/>
              </w:rPr>
              <w:t>围绕联合实验室主要研究方向，形成国际化学术团队</w:t>
            </w:r>
          </w:p>
          <w:p w14:paraId="21DC27DB">
            <w:pPr>
              <w:pStyle w:val="13"/>
              <w:numPr>
                <w:ilvl w:val="0"/>
                <w:numId w:val="12"/>
              </w:numPr>
              <w:adjustRightInd w:val="0"/>
              <w:snapToGrid w:val="0"/>
              <w:ind w:firstLineChars="0"/>
              <w:jc w:val="left"/>
              <w:rPr>
                <w:rFonts w:hint="eastAsia" w:ascii="仿宋" w:hAnsi="仿宋" w:eastAsia="仿宋" w:cs="仿宋"/>
                <w:sz w:val="24"/>
                <w:szCs w:val="24"/>
              </w:rPr>
            </w:pPr>
            <w:r>
              <w:rPr>
                <w:rFonts w:hint="eastAsia" w:ascii="仿宋" w:hAnsi="仿宋" w:eastAsia="仿宋" w:cs="仿宋"/>
                <w:sz w:val="24"/>
                <w:szCs w:val="24"/>
              </w:rPr>
              <w:t>集聚一批战略科学家、领军人才和青年拔尖人才</w:t>
            </w:r>
          </w:p>
          <w:p w14:paraId="038C2ACD">
            <w:pPr>
              <w:pStyle w:val="12"/>
              <w:numPr>
                <w:ilvl w:val="0"/>
                <w:numId w:val="13"/>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建立访问学者制度，保持一定规模的国际流动研究人员</w:t>
            </w:r>
          </w:p>
          <w:p w14:paraId="7328EF02">
            <w:pPr>
              <w:pStyle w:val="12"/>
              <w:numPr>
                <w:ilvl w:val="0"/>
                <w:numId w:val="13"/>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加强专职科研队伍建设，保持一定规模的博士后队伍</w:t>
            </w:r>
          </w:p>
          <w:p w14:paraId="79E03980">
            <w:pPr>
              <w:pStyle w:val="12"/>
              <w:numPr>
                <w:ilvl w:val="0"/>
                <w:numId w:val="13"/>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设立青年创新基金，鼓励世界各国青年学者来实验室开展创新研究</w:t>
            </w:r>
          </w:p>
        </w:tc>
      </w:tr>
      <w:tr w14:paraId="7F410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2" w:hRule="atLeast"/>
          <w:jc w:val="center"/>
        </w:trPr>
        <w:tc>
          <w:tcPr>
            <w:tcW w:w="1555" w:type="dxa"/>
            <w:vMerge w:val="continue"/>
            <w:shd w:val="clear" w:color="auto" w:fill="auto"/>
            <w:vAlign w:val="center"/>
          </w:tcPr>
          <w:p w14:paraId="35B259FC">
            <w:pPr>
              <w:adjustRightInd w:val="0"/>
              <w:snapToGrid w:val="0"/>
              <w:rPr>
                <w:rFonts w:hint="eastAsia" w:ascii="仿宋" w:hAnsi="仿宋" w:eastAsia="仿宋" w:cs="仿宋"/>
                <w:sz w:val="24"/>
                <w:szCs w:val="24"/>
              </w:rPr>
            </w:pPr>
          </w:p>
        </w:tc>
        <w:tc>
          <w:tcPr>
            <w:tcW w:w="1984" w:type="dxa"/>
            <w:shd w:val="clear" w:color="auto" w:fill="auto"/>
            <w:vAlign w:val="center"/>
          </w:tcPr>
          <w:p w14:paraId="5C4BA40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创新成果</w:t>
            </w:r>
          </w:p>
        </w:tc>
        <w:tc>
          <w:tcPr>
            <w:tcW w:w="7938" w:type="dxa"/>
            <w:shd w:val="clear" w:color="auto" w:fill="auto"/>
            <w:vAlign w:val="center"/>
          </w:tcPr>
          <w:p w14:paraId="2BD3163F">
            <w:pPr>
              <w:pStyle w:val="13"/>
              <w:numPr>
                <w:ilvl w:val="0"/>
                <w:numId w:val="14"/>
              </w:numPr>
              <w:adjustRightInd w:val="0"/>
              <w:snapToGrid w:val="0"/>
              <w:ind w:firstLineChars="0"/>
              <w:jc w:val="left"/>
              <w:rPr>
                <w:rFonts w:hint="eastAsia" w:ascii="仿宋" w:hAnsi="仿宋" w:eastAsia="仿宋" w:cs="仿宋"/>
                <w:sz w:val="24"/>
                <w:szCs w:val="24"/>
              </w:rPr>
            </w:pPr>
            <w:r>
              <w:rPr>
                <w:rFonts w:hint="eastAsia" w:ascii="仿宋" w:hAnsi="仿宋" w:eastAsia="仿宋" w:cs="仿宋"/>
                <w:sz w:val="24"/>
                <w:szCs w:val="24"/>
              </w:rPr>
              <w:t>围绕全球面临的重大挑战，组织发起国际大科学计划、工程</w:t>
            </w:r>
          </w:p>
          <w:p w14:paraId="3D6AAEFF">
            <w:pPr>
              <w:pStyle w:val="13"/>
              <w:numPr>
                <w:ilvl w:val="0"/>
                <w:numId w:val="14"/>
              </w:numPr>
              <w:adjustRightInd w:val="0"/>
              <w:snapToGrid w:val="0"/>
              <w:ind w:firstLineChars="0"/>
              <w:jc w:val="left"/>
              <w:rPr>
                <w:rFonts w:hint="eastAsia" w:ascii="仿宋" w:hAnsi="仿宋" w:eastAsia="仿宋" w:cs="仿宋"/>
                <w:sz w:val="24"/>
                <w:szCs w:val="24"/>
              </w:rPr>
            </w:pPr>
            <w:r>
              <w:rPr>
                <w:rFonts w:hint="eastAsia" w:ascii="仿宋" w:hAnsi="仿宋" w:eastAsia="仿宋" w:cs="仿宋"/>
                <w:sz w:val="24"/>
                <w:szCs w:val="24"/>
              </w:rPr>
              <w:t>围绕国家重大战略需求，开展系统性协同创新</w:t>
            </w:r>
          </w:p>
          <w:p w14:paraId="37FE5125">
            <w:pPr>
              <w:pStyle w:val="13"/>
              <w:numPr>
                <w:ilvl w:val="0"/>
                <w:numId w:val="14"/>
              </w:numPr>
              <w:adjustRightInd w:val="0"/>
              <w:snapToGrid w:val="0"/>
              <w:ind w:firstLineChars="0"/>
              <w:jc w:val="left"/>
              <w:rPr>
                <w:rFonts w:hint="eastAsia" w:ascii="仿宋" w:hAnsi="仿宋" w:eastAsia="仿宋" w:cs="仿宋"/>
                <w:sz w:val="24"/>
                <w:szCs w:val="24"/>
              </w:rPr>
            </w:pPr>
            <w:r>
              <w:rPr>
                <w:rFonts w:hint="eastAsia" w:ascii="仿宋" w:hAnsi="仿宋" w:eastAsia="仿宋" w:cs="仿宋"/>
                <w:sz w:val="24"/>
                <w:szCs w:val="24"/>
              </w:rPr>
              <w:t>取得国际学术界公认的、具有重大科学价值的原创性研究成果</w:t>
            </w:r>
          </w:p>
          <w:p w14:paraId="7B70E71B">
            <w:pPr>
              <w:pStyle w:val="12"/>
              <w:numPr>
                <w:ilvl w:val="0"/>
                <w:numId w:val="14"/>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建立明确的知识产权制度</w:t>
            </w:r>
          </w:p>
        </w:tc>
      </w:tr>
      <w:tr w14:paraId="78413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jc w:val="center"/>
        </w:trPr>
        <w:tc>
          <w:tcPr>
            <w:tcW w:w="1555" w:type="dxa"/>
            <w:vMerge w:val="continue"/>
            <w:shd w:val="clear" w:color="auto" w:fill="auto"/>
            <w:vAlign w:val="center"/>
          </w:tcPr>
          <w:p w14:paraId="4F9969E8">
            <w:pPr>
              <w:adjustRightInd w:val="0"/>
              <w:snapToGrid w:val="0"/>
              <w:rPr>
                <w:rFonts w:hint="eastAsia" w:ascii="仿宋" w:hAnsi="仿宋" w:eastAsia="仿宋" w:cs="仿宋"/>
                <w:sz w:val="24"/>
                <w:szCs w:val="24"/>
              </w:rPr>
            </w:pPr>
          </w:p>
        </w:tc>
        <w:tc>
          <w:tcPr>
            <w:tcW w:w="1984" w:type="dxa"/>
            <w:shd w:val="clear" w:color="auto" w:fill="auto"/>
            <w:vAlign w:val="center"/>
          </w:tcPr>
          <w:p w14:paraId="0CB1669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国际学术影响力</w:t>
            </w:r>
          </w:p>
        </w:tc>
        <w:tc>
          <w:tcPr>
            <w:tcW w:w="7938" w:type="dxa"/>
            <w:shd w:val="clear" w:color="auto" w:fill="auto"/>
            <w:vAlign w:val="center"/>
          </w:tcPr>
          <w:p w14:paraId="448F9F63">
            <w:pPr>
              <w:pStyle w:val="12"/>
              <w:numPr>
                <w:ilvl w:val="0"/>
                <w:numId w:val="15"/>
              </w:numPr>
              <w:adjustRightInd w:val="0"/>
              <w:snapToGrid w:val="0"/>
              <w:ind w:firstLineChars="0"/>
              <w:jc w:val="left"/>
              <w:rPr>
                <w:rFonts w:hint="eastAsia" w:ascii="仿宋" w:hAnsi="仿宋" w:eastAsia="仿宋" w:cs="仿宋"/>
                <w:sz w:val="24"/>
                <w:szCs w:val="24"/>
              </w:rPr>
            </w:pPr>
            <w:r>
              <w:rPr>
                <w:rFonts w:hint="eastAsia" w:ascii="仿宋" w:hAnsi="仿宋" w:eastAsia="仿宋" w:cs="仿宋"/>
                <w:sz w:val="24"/>
                <w:szCs w:val="24"/>
              </w:rPr>
              <w:t>主办或承办国际学术会议</w:t>
            </w:r>
          </w:p>
          <w:p w14:paraId="5696292E">
            <w:pPr>
              <w:pStyle w:val="12"/>
              <w:numPr>
                <w:ilvl w:val="0"/>
                <w:numId w:val="15"/>
              </w:numPr>
              <w:adjustRightInd w:val="0"/>
              <w:snapToGrid w:val="0"/>
              <w:ind w:firstLineChars="0"/>
              <w:jc w:val="left"/>
              <w:rPr>
                <w:rFonts w:hint="eastAsia" w:ascii="仿宋" w:hAnsi="仿宋" w:eastAsia="仿宋" w:cs="仿宋"/>
                <w:sz w:val="24"/>
                <w:szCs w:val="24"/>
              </w:rPr>
            </w:pPr>
            <w:r>
              <w:rPr>
                <w:rFonts w:hint="eastAsia" w:ascii="仿宋" w:hAnsi="仿宋" w:eastAsia="仿宋" w:cs="仿宋"/>
                <w:sz w:val="24"/>
                <w:szCs w:val="24"/>
              </w:rPr>
              <w:t>联合实验室成员在国际学术会议上做大会报告</w:t>
            </w:r>
          </w:p>
          <w:p w14:paraId="5D1C1FDB">
            <w:pPr>
              <w:pStyle w:val="12"/>
              <w:numPr>
                <w:ilvl w:val="0"/>
                <w:numId w:val="15"/>
              </w:numPr>
              <w:adjustRightInd w:val="0"/>
              <w:snapToGrid w:val="0"/>
              <w:ind w:firstLineChars="0"/>
              <w:jc w:val="left"/>
              <w:rPr>
                <w:rFonts w:hint="eastAsia" w:ascii="仿宋" w:hAnsi="仿宋" w:eastAsia="仿宋" w:cs="仿宋"/>
                <w:sz w:val="24"/>
                <w:szCs w:val="24"/>
              </w:rPr>
            </w:pPr>
            <w:r>
              <w:rPr>
                <w:rFonts w:hint="eastAsia" w:ascii="仿宋" w:hAnsi="仿宋" w:eastAsia="仿宋" w:cs="仿宋"/>
                <w:sz w:val="24"/>
                <w:szCs w:val="24"/>
              </w:rPr>
              <w:t>在国际学术组织任职或担任国际期刊编委</w:t>
            </w:r>
          </w:p>
          <w:p w14:paraId="4AFA8C27">
            <w:pPr>
              <w:pStyle w:val="12"/>
              <w:numPr>
                <w:ilvl w:val="0"/>
                <w:numId w:val="15"/>
              </w:numPr>
              <w:adjustRightInd w:val="0"/>
              <w:snapToGrid w:val="0"/>
              <w:ind w:firstLineChars="0"/>
              <w:jc w:val="left"/>
              <w:rPr>
                <w:rFonts w:hint="eastAsia" w:ascii="仿宋" w:hAnsi="仿宋" w:eastAsia="仿宋" w:cs="仿宋"/>
                <w:sz w:val="24"/>
                <w:szCs w:val="24"/>
              </w:rPr>
            </w:pPr>
            <w:r>
              <w:rPr>
                <w:rFonts w:hint="eastAsia" w:ascii="仿宋" w:hAnsi="仿宋" w:eastAsia="仿宋" w:cs="仿宋"/>
                <w:sz w:val="24"/>
                <w:szCs w:val="24"/>
              </w:rPr>
              <w:t>创办一流学术期刊</w:t>
            </w:r>
          </w:p>
        </w:tc>
      </w:tr>
      <w:tr w14:paraId="0CE64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1555" w:type="dxa"/>
            <w:vMerge w:val="restart"/>
            <w:shd w:val="clear" w:color="auto" w:fill="auto"/>
            <w:vAlign w:val="center"/>
          </w:tcPr>
          <w:p w14:paraId="7FE5D6BE">
            <w:pPr>
              <w:adjustRightInd w:val="0"/>
              <w:snapToGrid w:val="0"/>
              <w:rPr>
                <w:rFonts w:hint="eastAsia" w:ascii="仿宋" w:hAnsi="仿宋" w:eastAsia="仿宋" w:cs="仿宋"/>
                <w:sz w:val="24"/>
                <w:szCs w:val="24"/>
              </w:rPr>
            </w:pPr>
            <w:r>
              <w:rPr>
                <w:rFonts w:hint="eastAsia" w:ascii="仿宋" w:hAnsi="仿宋" w:eastAsia="仿宋" w:cs="仿宋"/>
                <w:sz w:val="24"/>
                <w:szCs w:val="24"/>
              </w:rPr>
              <w:t>规范化管理与运行</w:t>
            </w:r>
          </w:p>
        </w:tc>
        <w:tc>
          <w:tcPr>
            <w:tcW w:w="1984" w:type="dxa"/>
            <w:shd w:val="clear" w:color="auto" w:fill="auto"/>
            <w:vAlign w:val="center"/>
          </w:tcPr>
          <w:p w14:paraId="4C45A32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管理机构</w:t>
            </w:r>
          </w:p>
        </w:tc>
        <w:tc>
          <w:tcPr>
            <w:tcW w:w="7938" w:type="dxa"/>
            <w:shd w:val="clear" w:color="auto" w:fill="auto"/>
            <w:vAlign w:val="center"/>
          </w:tcPr>
          <w:p w14:paraId="4DDFD5D1">
            <w:pPr>
              <w:pStyle w:val="13"/>
              <w:numPr>
                <w:ilvl w:val="0"/>
                <w:numId w:val="16"/>
              </w:numPr>
              <w:adjustRightInd w:val="0"/>
              <w:snapToGrid w:val="0"/>
              <w:ind w:firstLineChars="0"/>
              <w:jc w:val="left"/>
              <w:rPr>
                <w:rFonts w:hint="eastAsia" w:ascii="仿宋" w:hAnsi="仿宋" w:eastAsia="仿宋" w:cs="仿宋"/>
                <w:sz w:val="24"/>
                <w:szCs w:val="24"/>
              </w:rPr>
            </w:pPr>
            <w:r>
              <w:rPr>
                <w:rFonts w:hint="eastAsia" w:ascii="仿宋" w:hAnsi="仿宋" w:eastAsia="仿宋" w:cs="仿宋"/>
                <w:sz w:val="24"/>
                <w:szCs w:val="24"/>
              </w:rPr>
              <w:t>建立国际化的管理机构，聘请一流科学家担任国际合作联合实验室的中方主任和外方主任</w:t>
            </w:r>
          </w:p>
          <w:p w14:paraId="4D658BC3">
            <w:pPr>
              <w:pStyle w:val="13"/>
              <w:numPr>
                <w:ilvl w:val="0"/>
                <w:numId w:val="16"/>
              </w:numPr>
              <w:adjustRightInd w:val="0"/>
              <w:snapToGrid w:val="0"/>
              <w:ind w:firstLineChars="0"/>
              <w:jc w:val="left"/>
              <w:rPr>
                <w:rFonts w:hint="eastAsia" w:ascii="仿宋" w:hAnsi="仿宋" w:eastAsia="仿宋" w:cs="仿宋"/>
                <w:sz w:val="24"/>
                <w:szCs w:val="24"/>
              </w:rPr>
            </w:pPr>
            <w:r>
              <w:rPr>
                <w:rFonts w:hint="eastAsia" w:ascii="仿宋" w:hAnsi="仿宋" w:eastAsia="仿宋" w:cs="仿宋"/>
                <w:sz w:val="24"/>
                <w:szCs w:val="24"/>
              </w:rPr>
              <w:t>建立高素质专职管理团队</w:t>
            </w:r>
          </w:p>
        </w:tc>
      </w:tr>
      <w:tr w14:paraId="3F669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1" w:hRule="atLeast"/>
          <w:jc w:val="center"/>
        </w:trPr>
        <w:tc>
          <w:tcPr>
            <w:tcW w:w="1555" w:type="dxa"/>
            <w:vMerge w:val="continue"/>
            <w:shd w:val="clear" w:color="auto" w:fill="auto"/>
            <w:vAlign w:val="center"/>
          </w:tcPr>
          <w:p w14:paraId="6DB6FD88">
            <w:pPr>
              <w:adjustRightInd w:val="0"/>
              <w:snapToGrid w:val="0"/>
              <w:rPr>
                <w:rFonts w:hint="eastAsia" w:ascii="仿宋" w:hAnsi="仿宋" w:eastAsia="仿宋" w:cs="仿宋"/>
                <w:sz w:val="24"/>
                <w:szCs w:val="24"/>
              </w:rPr>
            </w:pPr>
          </w:p>
        </w:tc>
        <w:tc>
          <w:tcPr>
            <w:tcW w:w="1984" w:type="dxa"/>
            <w:shd w:val="clear" w:color="auto" w:fill="auto"/>
            <w:vAlign w:val="center"/>
          </w:tcPr>
          <w:p w14:paraId="1DC866F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国际学术委员会</w:t>
            </w:r>
          </w:p>
        </w:tc>
        <w:tc>
          <w:tcPr>
            <w:tcW w:w="7938" w:type="dxa"/>
            <w:shd w:val="clear" w:color="auto" w:fill="auto"/>
            <w:vAlign w:val="center"/>
          </w:tcPr>
          <w:p w14:paraId="67CD2DF1">
            <w:pPr>
              <w:pStyle w:val="12"/>
              <w:numPr>
                <w:ilvl w:val="0"/>
                <w:numId w:val="17"/>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设立国际化的学术委员会，聘任国内外著名科学家为实验室发展提供咨询，指导实验室建设</w:t>
            </w:r>
          </w:p>
          <w:p w14:paraId="58B6F234">
            <w:pPr>
              <w:pStyle w:val="12"/>
              <w:numPr>
                <w:ilvl w:val="0"/>
                <w:numId w:val="17"/>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定期召开学术委员会会议</w:t>
            </w:r>
          </w:p>
        </w:tc>
      </w:tr>
      <w:tr w14:paraId="1C15E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5" w:hRule="atLeast"/>
          <w:jc w:val="center"/>
        </w:trPr>
        <w:tc>
          <w:tcPr>
            <w:tcW w:w="1555" w:type="dxa"/>
            <w:vMerge w:val="continue"/>
            <w:shd w:val="clear" w:color="auto" w:fill="auto"/>
            <w:vAlign w:val="center"/>
          </w:tcPr>
          <w:p w14:paraId="7E950456">
            <w:pPr>
              <w:adjustRightInd w:val="0"/>
              <w:snapToGrid w:val="0"/>
              <w:rPr>
                <w:rFonts w:hint="eastAsia" w:ascii="仿宋" w:hAnsi="仿宋" w:eastAsia="仿宋" w:cs="仿宋"/>
                <w:sz w:val="24"/>
                <w:szCs w:val="24"/>
              </w:rPr>
            </w:pPr>
          </w:p>
        </w:tc>
        <w:tc>
          <w:tcPr>
            <w:tcW w:w="1984" w:type="dxa"/>
            <w:shd w:val="clear" w:color="auto" w:fill="auto"/>
            <w:vAlign w:val="center"/>
          </w:tcPr>
          <w:p w14:paraId="3D38909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制度建设</w:t>
            </w:r>
          </w:p>
        </w:tc>
        <w:tc>
          <w:tcPr>
            <w:tcW w:w="7938" w:type="dxa"/>
            <w:shd w:val="clear" w:color="auto" w:fill="auto"/>
            <w:vAlign w:val="center"/>
          </w:tcPr>
          <w:p w14:paraId="0C75CE16">
            <w:pPr>
              <w:pStyle w:val="13"/>
              <w:numPr>
                <w:ilvl w:val="0"/>
                <w:numId w:val="18"/>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建立了教学科研、交流培训、管理运行、资源共享等相关的规章制度</w:t>
            </w:r>
          </w:p>
          <w:p w14:paraId="48E321B2">
            <w:pPr>
              <w:pStyle w:val="13"/>
              <w:numPr>
                <w:ilvl w:val="0"/>
                <w:numId w:val="18"/>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实行符合国际惯例的人才聘用、考核和流动机制，逐步实行准聘—长聘制和年薪制</w:t>
            </w:r>
          </w:p>
          <w:p w14:paraId="6B9193D6">
            <w:pPr>
              <w:pStyle w:val="13"/>
              <w:numPr>
                <w:ilvl w:val="0"/>
                <w:numId w:val="18"/>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落实有效的激励机制，激发实验室的科技创新和竞争活力</w:t>
            </w:r>
          </w:p>
        </w:tc>
      </w:tr>
      <w:tr w14:paraId="1B537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1555" w:type="dxa"/>
            <w:vMerge w:val="continue"/>
            <w:shd w:val="clear" w:color="auto" w:fill="auto"/>
            <w:vAlign w:val="center"/>
          </w:tcPr>
          <w:p w14:paraId="5B94EF5B">
            <w:pPr>
              <w:adjustRightInd w:val="0"/>
              <w:snapToGrid w:val="0"/>
              <w:rPr>
                <w:rFonts w:hint="eastAsia" w:ascii="仿宋" w:hAnsi="仿宋" w:eastAsia="仿宋" w:cs="仿宋"/>
                <w:sz w:val="24"/>
                <w:szCs w:val="24"/>
              </w:rPr>
            </w:pPr>
          </w:p>
        </w:tc>
        <w:tc>
          <w:tcPr>
            <w:tcW w:w="1984" w:type="dxa"/>
            <w:shd w:val="clear" w:color="auto" w:fill="auto"/>
            <w:vAlign w:val="center"/>
          </w:tcPr>
          <w:p w14:paraId="4BDA77C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人文交流与创新文化</w:t>
            </w:r>
          </w:p>
        </w:tc>
        <w:tc>
          <w:tcPr>
            <w:tcW w:w="7938" w:type="dxa"/>
            <w:shd w:val="clear" w:color="auto" w:fill="auto"/>
            <w:vAlign w:val="center"/>
          </w:tcPr>
          <w:p w14:paraId="3C87A88F">
            <w:pPr>
              <w:pStyle w:val="13"/>
              <w:numPr>
                <w:ilvl w:val="0"/>
                <w:numId w:val="19"/>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积极开展中外人文交流公益活动</w:t>
            </w:r>
          </w:p>
          <w:p w14:paraId="3AF42049">
            <w:pPr>
              <w:pStyle w:val="12"/>
              <w:numPr>
                <w:ilvl w:val="0"/>
                <w:numId w:val="19"/>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形成有特色的创新文化</w:t>
            </w:r>
          </w:p>
        </w:tc>
      </w:tr>
    </w:tbl>
    <w:p w14:paraId="7C8BEC5F">
      <w:pPr>
        <w:spacing w:line="560" w:lineRule="exact"/>
        <w:ind w:firstLine="640" w:firstLineChars="200"/>
        <w:jc w:val="center"/>
        <w:rPr>
          <w:rFonts w:ascii="Times New Roman" w:hAnsi="Times New Roman" w:eastAsia="仿宋_GB2312" w:cs="Times New Roman"/>
          <w:b/>
          <w:sz w:val="32"/>
          <w:szCs w:val="32"/>
        </w:rPr>
      </w:pPr>
    </w:p>
    <w:p w14:paraId="5B42FBF1">
      <w:pPr>
        <w:spacing w:line="560" w:lineRule="exact"/>
        <w:ind w:firstLine="640" w:firstLineChars="200"/>
        <w:jc w:val="center"/>
        <w:rPr>
          <w:rFonts w:ascii="Times New Roman" w:hAnsi="Times New Roman" w:eastAsia="仿宋_GB2312" w:cs="Times New Roman"/>
          <w:b/>
          <w:sz w:val="32"/>
          <w:szCs w:val="32"/>
        </w:rPr>
      </w:pPr>
    </w:p>
    <w:sectPr>
      <w:pgSz w:w="16838" w:h="11906" w:orient="landscape"/>
      <w:pgMar w:top="1588" w:right="2098" w:bottom="1474" w:left="1985"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E78D1093-47F7-40E3-B09D-8463A9B0ED67}"/>
  </w:font>
  <w:font w:name="仿宋_GB2312">
    <w:altName w:val="仿宋"/>
    <w:panose1 w:val="02010609030101010101"/>
    <w:charset w:val="86"/>
    <w:family w:val="modern"/>
    <w:pitch w:val="default"/>
    <w:sig w:usb0="00000000" w:usb1="00000000" w:usb2="00000000" w:usb3="00000000" w:csb0="00040000" w:csb1="00000000"/>
    <w:embedRegular r:id="rId2" w:fontKey="{BCD634DA-D2DE-4C74-A29D-892DD94A39F3}"/>
  </w:font>
  <w:font w:name="仿宋">
    <w:panose1 w:val="02010609060101010101"/>
    <w:charset w:val="86"/>
    <w:family w:val="auto"/>
    <w:pitch w:val="default"/>
    <w:sig w:usb0="800002BF" w:usb1="38CF7CFA" w:usb2="00000016" w:usb3="00000000" w:csb0="00040001" w:csb1="00000000"/>
    <w:embedRegular r:id="rId3" w:fontKey="{1D4972FB-275D-4CBE-A819-F08B348923D2}"/>
  </w:font>
  <w:font w:name="方正小标宋简体">
    <w:panose1 w:val="02000000000000000000"/>
    <w:charset w:val="86"/>
    <w:family w:val="auto"/>
    <w:pitch w:val="default"/>
    <w:sig w:usb0="00000001" w:usb1="08000000" w:usb2="00000000" w:usb3="00000000" w:csb0="00040000" w:csb1="00000000"/>
    <w:embedRegular r:id="rId4" w:fontKey="{FB39C92B-5915-484A-A66E-229E103E6569}"/>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473944"/>
    <w:multiLevelType w:val="multilevel"/>
    <w:tmpl w:val="1047394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EE330F1"/>
    <w:multiLevelType w:val="multilevel"/>
    <w:tmpl w:val="1EE330F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3B21398"/>
    <w:multiLevelType w:val="multilevel"/>
    <w:tmpl w:val="23B2139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634486E"/>
    <w:multiLevelType w:val="multilevel"/>
    <w:tmpl w:val="263448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64F20DB"/>
    <w:multiLevelType w:val="multilevel"/>
    <w:tmpl w:val="364F20D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8E67BF3"/>
    <w:multiLevelType w:val="multilevel"/>
    <w:tmpl w:val="38E67BF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9A81280"/>
    <w:multiLevelType w:val="multilevel"/>
    <w:tmpl w:val="39A8128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9D133CE"/>
    <w:multiLevelType w:val="multilevel"/>
    <w:tmpl w:val="39D133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B590BC2"/>
    <w:multiLevelType w:val="multilevel"/>
    <w:tmpl w:val="3B590BC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E2255F9"/>
    <w:multiLevelType w:val="multilevel"/>
    <w:tmpl w:val="3E2255F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4470C03"/>
    <w:multiLevelType w:val="multilevel"/>
    <w:tmpl w:val="44470C0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A142D37"/>
    <w:multiLevelType w:val="multilevel"/>
    <w:tmpl w:val="4A142D3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D6320E6"/>
    <w:multiLevelType w:val="multilevel"/>
    <w:tmpl w:val="4D6320E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1D93101"/>
    <w:multiLevelType w:val="multilevel"/>
    <w:tmpl w:val="51D9310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57285B14"/>
    <w:multiLevelType w:val="singleLevel"/>
    <w:tmpl w:val="57285B14"/>
    <w:lvl w:ilvl="0" w:tentative="0">
      <w:start w:val="1"/>
      <w:numFmt w:val="bullet"/>
      <w:lvlText w:val=""/>
      <w:lvlJc w:val="left"/>
      <w:pPr>
        <w:tabs>
          <w:tab w:val="left" w:pos="420"/>
        </w:tabs>
        <w:ind w:left="420" w:hanging="420"/>
      </w:pPr>
      <w:rPr>
        <w:rFonts w:hint="default" w:ascii="Wingdings" w:hAnsi="Wingdings"/>
      </w:rPr>
    </w:lvl>
  </w:abstractNum>
  <w:abstractNum w:abstractNumId="15">
    <w:nsid w:val="57285B2D"/>
    <w:multiLevelType w:val="singleLevel"/>
    <w:tmpl w:val="57285B2D"/>
    <w:lvl w:ilvl="0" w:tentative="0">
      <w:start w:val="1"/>
      <w:numFmt w:val="bullet"/>
      <w:lvlText w:val=""/>
      <w:lvlJc w:val="left"/>
      <w:pPr>
        <w:tabs>
          <w:tab w:val="left" w:pos="420"/>
        </w:tabs>
        <w:ind w:left="420" w:hanging="420"/>
      </w:pPr>
      <w:rPr>
        <w:rFonts w:hint="default" w:ascii="Wingdings" w:hAnsi="Wingdings"/>
      </w:rPr>
    </w:lvl>
  </w:abstractNum>
  <w:abstractNum w:abstractNumId="16">
    <w:nsid w:val="57285B75"/>
    <w:multiLevelType w:val="singleLevel"/>
    <w:tmpl w:val="57285B75"/>
    <w:lvl w:ilvl="0" w:tentative="0">
      <w:start w:val="1"/>
      <w:numFmt w:val="bullet"/>
      <w:lvlText w:val=""/>
      <w:lvlJc w:val="left"/>
      <w:pPr>
        <w:tabs>
          <w:tab w:val="left" w:pos="420"/>
        </w:tabs>
        <w:ind w:left="420" w:hanging="420"/>
      </w:pPr>
      <w:rPr>
        <w:rFonts w:hint="default" w:ascii="Wingdings" w:hAnsi="Wingdings"/>
      </w:rPr>
    </w:lvl>
  </w:abstractNum>
  <w:abstractNum w:abstractNumId="17">
    <w:nsid w:val="65203D42"/>
    <w:multiLevelType w:val="multilevel"/>
    <w:tmpl w:val="65203D4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6A146159"/>
    <w:multiLevelType w:val="multilevel"/>
    <w:tmpl w:val="6A14615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6"/>
  </w:num>
  <w:num w:numId="2">
    <w:abstractNumId w:val="15"/>
  </w:num>
  <w:num w:numId="3">
    <w:abstractNumId w:val="14"/>
  </w:num>
  <w:num w:numId="4">
    <w:abstractNumId w:val="10"/>
  </w:num>
  <w:num w:numId="5">
    <w:abstractNumId w:val="0"/>
  </w:num>
  <w:num w:numId="6">
    <w:abstractNumId w:val="7"/>
  </w:num>
  <w:num w:numId="7">
    <w:abstractNumId w:val="2"/>
  </w:num>
  <w:num w:numId="8">
    <w:abstractNumId w:val="4"/>
  </w:num>
  <w:num w:numId="9">
    <w:abstractNumId w:val="17"/>
  </w:num>
  <w:num w:numId="10">
    <w:abstractNumId w:val="13"/>
  </w:num>
  <w:num w:numId="11">
    <w:abstractNumId w:val="1"/>
  </w:num>
  <w:num w:numId="12">
    <w:abstractNumId w:val="12"/>
  </w:num>
  <w:num w:numId="13">
    <w:abstractNumId w:val="9"/>
  </w:num>
  <w:num w:numId="14">
    <w:abstractNumId w:val="6"/>
  </w:num>
  <w:num w:numId="15">
    <w:abstractNumId w:val="18"/>
  </w:num>
  <w:num w:numId="16">
    <w:abstractNumId w:val="11"/>
  </w:num>
  <w:num w:numId="17">
    <w:abstractNumId w:val="5"/>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5MmMzNzhmMzRlMjE2NGJhY2Y5OTBmNjNkZGY3YWUifQ=="/>
  </w:docVars>
  <w:rsids>
    <w:rsidRoot w:val="008365C2"/>
    <w:rsid w:val="00050945"/>
    <w:rsid w:val="004A48DC"/>
    <w:rsid w:val="004C7016"/>
    <w:rsid w:val="005151E2"/>
    <w:rsid w:val="00537DC7"/>
    <w:rsid w:val="00602F18"/>
    <w:rsid w:val="00656DF7"/>
    <w:rsid w:val="006A1913"/>
    <w:rsid w:val="00755D80"/>
    <w:rsid w:val="00783F0B"/>
    <w:rsid w:val="008232D7"/>
    <w:rsid w:val="008365C2"/>
    <w:rsid w:val="0088046D"/>
    <w:rsid w:val="00902FA0"/>
    <w:rsid w:val="00921F9A"/>
    <w:rsid w:val="009E73CA"/>
    <w:rsid w:val="00A2580C"/>
    <w:rsid w:val="00A83F47"/>
    <w:rsid w:val="00AE1027"/>
    <w:rsid w:val="00B313A8"/>
    <w:rsid w:val="00C36EC6"/>
    <w:rsid w:val="00CF3C73"/>
    <w:rsid w:val="00D0695F"/>
    <w:rsid w:val="00D909BE"/>
    <w:rsid w:val="00DC4614"/>
    <w:rsid w:val="00EF438E"/>
    <w:rsid w:val="00F36A05"/>
    <w:rsid w:val="00F5756A"/>
    <w:rsid w:val="00F61C10"/>
    <w:rsid w:val="00F855D6"/>
    <w:rsid w:val="00FE7B50"/>
    <w:rsid w:val="00FF4BE4"/>
    <w:rsid w:val="01E9168D"/>
    <w:rsid w:val="03610CE2"/>
    <w:rsid w:val="2C9A237C"/>
    <w:rsid w:val="336974FB"/>
    <w:rsid w:val="43F628BB"/>
    <w:rsid w:val="560F6EBC"/>
    <w:rsid w:val="6C812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99"/>
    <w:rPr>
      <w:color w:val="0563C1"/>
      <w:u w:val="single"/>
    </w:rPr>
  </w:style>
  <w:style w:type="paragraph" w:styleId="8">
    <w:name w:val="List Paragraph"/>
    <w:basedOn w:val="1"/>
    <w:qFormat/>
    <w:uiPriority w:val="34"/>
    <w:pPr>
      <w:ind w:firstLine="420" w:firstLineChars="200"/>
    </w:pPr>
  </w:style>
  <w:style w:type="character" w:customStyle="1" w:styleId="9">
    <w:name w:val="未处理的提及1"/>
    <w:basedOn w:val="6"/>
    <w:qFormat/>
    <w:uiPriority w:val="99"/>
    <w:rPr>
      <w:color w:val="605E5C"/>
      <w:shd w:val="clear" w:color="auto" w:fill="E1DFDD"/>
    </w:rPr>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 w:type="paragraph" w:customStyle="1" w:styleId="12">
    <w:name w:val="列出段落2"/>
    <w:basedOn w:val="1"/>
    <w:unhideWhenUsed/>
    <w:qFormat/>
    <w:uiPriority w:val="99"/>
    <w:pPr>
      <w:ind w:firstLine="420" w:firstLineChars="200"/>
    </w:pPr>
    <w:rPr>
      <w:rFonts w:ascii="Times New Roman" w:hAnsi="Times New Roman" w:eastAsia="宋体" w:cs="Times New Roman"/>
      <w:szCs w:val="24"/>
    </w:rPr>
  </w:style>
  <w:style w:type="paragraph" w:customStyle="1" w:styleId="13">
    <w:name w:val="列出段落1"/>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2139</Words>
  <Characters>2146</Characters>
  <Lines>23</Lines>
  <Paragraphs>6</Paragraphs>
  <TotalTime>10</TotalTime>
  <ScaleCrop>false</ScaleCrop>
  <LinksUpToDate>false</LinksUpToDate>
  <CharactersWithSpaces>2147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2023-12-11T15:14:00Z</dcterms:created>
  <dc:creator>锐 麻</dc:creator>
  <cp:lastModifiedBy>编辑</cp:lastModifiedBy>
  <dcterms:modified xsi:type="dcterms:W3CDTF">2026-03-19T00:43:51Z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8F5A5B98B33F47BDADC9BADB19EE0A73_13</vt:lpwstr>
  </property>
  <property fmtid="{D5CDD505-2E9C-101B-9397-08002B2CF9AE}" pid="3" name="KSOProductBuildVer">
    <vt:lpwstr>2052-12.1.0.25225</vt:lpwstr>
  </property>
  <property fmtid="{D5CDD505-2E9C-101B-9397-08002B2CF9AE}" pid="4" name="KSOTemplateDocerSaveRecord">
    <vt:lpwstr>eyJoZGlkIjoiZjVkNmFiMGQ5YTk0ZGQ5NmNjNGJmMjExNzE3NzBiMTkiLCJ1c2VySWQiOiIzNjExOTEyMzMifQ==</vt:lpwstr>
  </property>
</Properties>
</file>