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1351" w14:textId="77777777" w:rsidR="007138A3" w:rsidRDefault="009C30A0">
      <w:pPr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2</w:t>
      </w:r>
    </w:p>
    <w:p w14:paraId="1707EE15" w14:textId="77777777" w:rsidR="007138A3" w:rsidRDefault="009C30A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江泽民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同志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生平和思想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研讨会</w:t>
      </w:r>
    </w:p>
    <w:p w14:paraId="2645656F" w14:textId="77777777" w:rsidR="007138A3" w:rsidRDefault="009C30A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论文印制要求</w:t>
      </w:r>
    </w:p>
    <w:p w14:paraId="4F5129F1" w14:textId="77777777" w:rsidR="007138A3" w:rsidRDefault="007138A3">
      <w:pPr>
        <w:spacing w:line="72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14:paraId="77C2DB7D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推荐论文要按统一的要求印制（见所附样本）。</w:t>
      </w:r>
    </w:p>
    <w:p w14:paraId="096B3B8E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发排、付印前，推荐单位要负责对论文进行认真核校，避免错字、别字、漏字和标点不当，尤其要仔细核对全部引文，务求准确无误。</w:t>
      </w:r>
    </w:p>
    <w:p w14:paraId="71D874D9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字体要求：大标题用二号方正小标宋简体，副标题用三号楷体，内容提要用小三号楷体。正文用三号仿宋，一级标题用三号黑体。注释用五号仿宋。作者简介用四号楷体。</w:t>
      </w:r>
    </w:p>
    <w:p w14:paraId="1807A6DD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行间距统一使用单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倍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行距。</w:t>
      </w:r>
    </w:p>
    <w:p w14:paraId="789933D7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注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2866AADB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版式要求：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纸版式、默认页边距、页码居中、首页有页码。首页内容包括论文标题、作者姓名、内容提要，正文从第二页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起，作者简介附在文末。</w:t>
      </w:r>
    </w:p>
    <w:p w14:paraId="05B54ED5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左侧骑缝装订。</w:t>
      </w:r>
    </w:p>
    <w:p w14:paraId="179DE87F" w14:textId="77777777" w:rsidR="007138A3" w:rsidRDefault="009C30A0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每篇论文一式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份，同时提交电子版。</w:t>
      </w:r>
    </w:p>
    <w:p w14:paraId="1FECFC92" w14:textId="77777777" w:rsidR="007138A3" w:rsidRDefault="007138A3">
      <w:pPr>
        <w:rPr>
          <w:rFonts w:ascii="楷体" w:eastAsia="楷体" w:hAnsi="楷体" w:cs="楷体"/>
          <w:snapToGrid w:val="0"/>
          <w:kern w:val="0"/>
          <w:szCs w:val="21"/>
        </w:rPr>
      </w:pPr>
    </w:p>
    <w:p w14:paraId="61A23BDD" w14:textId="77777777" w:rsidR="007138A3" w:rsidRDefault="007138A3">
      <w:pPr>
        <w:rPr>
          <w:rFonts w:ascii="楷体" w:eastAsia="楷体" w:hAnsi="楷体" w:cs="楷体"/>
          <w:szCs w:val="21"/>
        </w:rPr>
        <w:sectPr w:rsidR="007138A3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7DF6A6C" w14:textId="77777777" w:rsidR="007138A3" w:rsidRDefault="009C30A0">
      <w:pPr>
        <w:spacing w:line="560" w:lineRule="exact"/>
        <w:rPr>
          <w:rFonts w:ascii="楷体_GB2312" w:eastAsia="楷体_GB2312" w:hAnsi="楷体_GB2312" w:cs="楷体_GB2312"/>
          <w:snapToGrid w:val="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28"/>
          <w:szCs w:val="28"/>
        </w:rPr>
        <w:lastRenderedPageBreak/>
        <w:t>“江泽民同志生平和思想研讨会”推荐论文</w:t>
      </w:r>
    </w:p>
    <w:p w14:paraId="4102829B" w14:textId="77777777" w:rsidR="007138A3" w:rsidRDefault="007138A3">
      <w:pP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14:paraId="18595831" w14:textId="77777777" w:rsidR="007138A3" w:rsidRDefault="007138A3">
      <w:pP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14:paraId="36990826" w14:textId="77777777" w:rsidR="007138A3" w:rsidRDefault="007138A3">
      <w:pP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14:paraId="27DA640F" w14:textId="77777777" w:rsidR="007138A3" w:rsidRDefault="009C30A0">
      <w:pPr>
        <w:widowControl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中国共产党管党治党的基本经验</w:t>
      </w:r>
    </w:p>
    <w:p w14:paraId="003D6D84" w14:textId="77777777" w:rsidR="007138A3" w:rsidRDefault="007138A3">
      <w:pPr>
        <w:widowControl/>
        <w:jc w:val="center"/>
        <w:rPr>
          <w:rFonts w:ascii="楷体_GB2312" w:eastAsia="楷体_GB2312"/>
          <w:snapToGrid w:val="0"/>
          <w:kern w:val="0"/>
          <w:sz w:val="30"/>
          <w:szCs w:val="30"/>
        </w:rPr>
      </w:pPr>
    </w:p>
    <w:p w14:paraId="4F9F212B" w14:textId="77777777" w:rsidR="007138A3" w:rsidRDefault="009C30A0">
      <w:pPr>
        <w:widowControl/>
        <w:jc w:val="center"/>
        <w:rPr>
          <w:rFonts w:ascii="楷体_GB2312" w:eastAsia="楷体_GB2312"/>
          <w:snapToGrid w:val="0"/>
          <w:kern w:val="0"/>
          <w:sz w:val="30"/>
          <w:szCs w:val="30"/>
        </w:rPr>
      </w:pPr>
      <w:r>
        <w:rPr>
          <w:rFonts w:ascii="楷体_GB2312" w:eastAsia="楷体_GB2312" w:hint="eastAsia"/>
          <w:snapToGrid w:val="0"/>
          <w:kern w:val="0"/>
          <w:sz w:val="30"/>
          <w:szCs w:val="30"/>
        </w:rPr>
        <w:t>李</w:t>
      </w:r>
      <w:r>
        <w:rPr>
          <w:rFonts w:ascii="楷体_GB2312" w:eastAsia="楷体_GB2312" w:hint="eastAsia"/>
          <w:snapToGrid w:val="0"/>
          <w:kern w:val="0"/>
          <w:sz w:val="30"/>
          <w:szCs w:val="30"/>
        </w:rPr>
        <w:t xml:space="preserve">  </w:t>
      </w:r>
      <w:r>
        <w:rPr>
          <w:rFonts w:ascii="楷体_GB2312" w:eastAsia="楷体_GB2312" w:hint="eastAsia"/>
          <w:snapToGrid w:val="0"/>
          <w:kern w:val="0"/>
          <w:sz w:val="30"/>
          <w:szCs w:val="30"/>
        </w:rPr>
        <w:t>明</w:t>
      </w:r>
    </w:p>
    <w:p w14:paraId="26C83BA7" w14:textId="77777777" w:rsidR="007138A3" w:rsidRDefault="007138A3">
      <w:pPr>
        <w:widowControl/>
        <w:jc w:val="center"/>
        <w:rPr>
          <w:rFonts w:ascii="楷体_GB2312" w:eastAsia="楷体_GB2312"/>
          <w:snapToGrid w:val="0"/>
          <w:kern w:val="0"/>
          <w:sz w:val="30"/>
          <w:szCs w:val="30"/>
        </w:rPr>
      </w:pPr>
    </w:p>
    <w:p w14:paraId="6AA52D0A" w14:textId="77777777" w:rsidR="007138A3" w:rsidRDefault="009C30A0">
      <w:pPr>
        <w:widowControl/>
        <w:ind w:firstLineChars="200" w:firstLine="6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  <w:r>
        <w:rPr>
          <w:rFonts w:ascii="楷体_GB2312" w:eastAsia="楷体_GB2312" w:hint="eastAsia"/>
          <w:snapToGrid w:val="0"/>
          <w:kern w:val="0"/>
          <w:sz w:val="30"/>
          <w:szCs w:val="30"/>
        </w:rPr>
        <w:t>内容</w:t>
      </w:r>
      <w:r>
        <w:rPr>
          <w:rFonts w:ascii="楷体_GB2312" w:eastAsia="楷体_GB2312" w:hint="eastAsia"/>
          <w:snapToGrid w:val="0"/>
          <w:kern w:val="0"/>
          <w:sz w:val="30"/>
          <w:szCs w:val="30"/>
        </w:rPr>
        <w:t>摘</w:t>
      </w:r>
      <w:r>
        <w:rPr>
          <w:rFonts w:ascii="楷体_GB2312" w:eastAsia="楷体_GB2312" w:hint="eastAsia"/>
          <w:snapToGrid w:val="0"/>
          <w:kern w:val="0"/>
          <w:sz w:val="30"/>
          <w:szCs w:val="30"/>
        </w:rPr>
        <w:t>要：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100</w:t>
      </w:r>
      <w:r>
        <w:rPr>
          <w:rFonts w:ascii="楷体_GB2312" w:eastAsia="楷体_GB2312" w:hint="eastAsia"/>
          <w:snapToGrid w:val="0"/>
          <w:kern w:val="0"/>
          <w:sz w:val="30"/>
          <w:szCs w:val="30"/>
        </w:rPr>
        <w:t>年来，中国共产党继承和发展马克思主义建党学说，坚持党要管党，从严治党，积累了丰富的管党治党经验</w:t>
      </w:r>
      <w:r>
        <w:rPr>
          <w:rFonts w:ascii="楷体_GB2312" w:eastAsia="楷体_GB2312" w:hint="eastAsia"/>
          <w:snapToGrid w:val="0"/>
          <w:kern w:val="0"/>
          <w:sz w:val="30"/>
          <w:szCs w:val="30"/>
        </w:rPr>
        <w:t>……</w:t>
      </w:r>
    </w:p>
    <w:p w14:paraId="5DBDBB63" w14:textId="77777777" w:rsidR="007138A3" w:rsidRDefault="007138A3">
      <w:pPr>
        <w:widowControl/>
        <w:ind w:firstLineChars="200" w:firstLine="6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</w:p>
    <w:p w14:paraId="52CAAE3D" w14:textId="77777777" w:rsidR="007138A3" w:rsidRDefault="009C30A0">
      <w:pPr>
        <w:widowControl/>
        <w:spacing w:beforeLines="50" w:before="156" w:afterLines="50" w:after="156"/>
        <w:ind w:firstLineChars="100" w:firstLine="320"/>
        <w:jc w:val="left"/>
        <w:rPr>
          <w:rFonts w:ascii="仿宋_GB2312" w:eastAsia="仿宋_GB2312"/>
          <w:snapToGrid w:val="0"/>
          <w:kern w:val="0"/>
          <w:sz w:val="32"/>
          <w:szCs w:val="30"/>
        </w:rPr>
      </w:pPr>
      <w:r>
        <w:rPr>
          <w:rFonts w:ascii="仿宋_GB2312" w:eastAsia="仿宋_GB2312" w:hint="eastAsia"/>
          <w:snapToGrid w:val="0"/>
          <w:kern w:val="0"/>
          <w:sz w:val="32"/>
          <w:szCs w:val="30"/>
        </w:rPr>
        <w:t>（第二页起为正文）</w:t>
      </w:r>
    </w:p>
    <w:p w14:paraId="448B3BDE" w14:textId="77777777" w:rsidR="007138A3" w:rsidRDefault="007138A3">
      <w:pPr>
        <w:widowControl/>
        <w:ind w:firstLineChars="200" w:firstLine="560"/>
        <w:jc w:val="left"/>
        <w:rPr>
          <w:rFonts w:ascii="宋体" w:hAnsi="宋体"/>
          <w:sz w:val="28"/>
          <w:szCs w:val="28"/>
        </w:rPr>
        <w:sectPr w:rsidR="007138A3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2C848818" w14:textId="77777777" w:rsidR="007138A3" w:rsidRDefault="009C30A0">
      <w:pPr>
        <w:widowControl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总结和运用管党治党基本经验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对于推进新时代党的建设新的伟大工程，具有重要意义。</w:t>
      </w:r>
    </w:p>
    <w:p w14:paraId="7365CF64" w14:textId="77777777" w:rsidR="007138A3" w:rsidRDefault="009C30A0">
      <w:pPr>
        <w:widowControl/>
        <w:ind w:firstLineChars="200" w:firstLine="640"/>
        <w:jc w:val="left"/>
        <w:rPr>
          <w:rFonts w:ascii="黑体" w:eastAsia="黑体" w:hAnsi="黑体" w:cs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必须把不忘初心、牢记使命作为党的建设永恒课题</w:t>
      </w:r>
    </w:p>
    <w:p w14:paraId="23D224E5" w14:textId="77777777" w:rsidR="007138A3" w:rsidRDefault="009C30A0">
      <w:pPr>
        <w:widowControl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从辛亥革命之后到中国共产党成立之前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带有政党性质的团体有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多个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但大多是昙花一现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vertAlign w:val="superscript"/>
        </w:rPr>
        <w:footnoteReference w:id="1"/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。为什么中国共产党能够独树一帜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由小到大、由弱到强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……</w:t>
      </w:r>
    </w:p>
    <w:p w14:paraId="4FDE1884" w14:textId="77777777" w:rsidR="007138A3" w:rsidRDefault="009C30A0">
      <w:pPr>
        <w:widowControl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党一经成立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就把实现共产主义作为党的最高理想和最终目标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同时也在马克思主义指导下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分析了中国社会状况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提出“为代表中国无产阶级及贫苦农人群众的利益而奋斗”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vertAlign w:val="superscript"/>
        </w:rPr>
        <w:footnoteReference w:id="2"/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建成大的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群众党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提出民主革命纲领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义无反顾肩负起实现中华民族伟大复兴的历史使命。</w:t>
      </w:r>
    </w:p>
    <w:p w14:paraId="165F6A0E" w14:textId="77777777" w:rsidR="007138A3" w:rsidRDefault="009C30A0">
      <w:pPr>
        <w:widowControl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延安时期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毛泽东曾说过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“共产党人必须随时准备坚持真理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因为任何真理都是符合于人民利益的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共产党人必须随时准备修正错误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因为任何错误都是不符合于人民利益的。”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vertAlign w:val="superscript"/>
        </w:rPr>
        <w:footnoteReference w:id="3"/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党的百年历史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并不是一帆风顺的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也曾历经坎坷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……</w:t>
      </w:r>
    </w:p>
    <w:p w14:paraId="6574565A" w14:textId="77777777" w:rsidR="007138A3" w:rsidRDefault="007138A3">
      <w:pPr>
        <w:widowControl/>
        <w:ind w:firstLineChars="200" w:firstLine="560"/>
        <w:jc w:val="left"/>
        <w:rPr>
          <w:rFonts w:ascii="楷体_GB2312" w:eastAsia="楷体_GB2312" w:hAnsi="宋体"/>
          <w:snapToGrid w:val="0"/>
          <w:kern w:val="0"/>
          <w:sz w:val="28"/>
          <w:szCs w:val="28"/>
        </w:rPr>
      </w:pPr>
    </w:p>
    <w:p w14:paraId="3B21AE89" w14:textId="77777777" w:rsidR="007138A3" w:rsidRDefault="009C30A0">
      <w:pPr>
        <w:widowControl/>
        <w:ind w:firstLineChars="200" w:firstLine="560"/>
        <w:jc w:val="left"/>
        <w:rPr>
          <w:rFonts w:ascii="楷体_GB2312" w:eastAsia="楷体_GB2312" w:hAnsi="宋体"/>
          <w:snapToGrid w:val="0"/>
          <w:kern w:val="0"/>
          <w:sz w:val="28"/>
          <w:szCs w:val="28"/>
        </w:rPr>
      </w:pPr>
      <w:r>
        <w:rPr>
          <w:rFonts w:ascii="楷体_GB2312" w:eastAsia="楷体_GB2312" w:hAnsi="宋体" w:hint="eastAsia"/>
          <w:snapToGrid w:val="0"/>
          <w:kern w:val="0"/>
          <w:sz w:val="28"/>
          <w:szCs w:val="28"/>
        </w:rPr>
        <w:t>作者简介：李</w:t>
      </w:r>
      <w:r>
        <w:rPr>
          <w:rFonts w:ascii="楷体_GB2312" w:eastAsia="楷体_GB2312" w:hAnsi="宋体" w:hint="eastAsia"/>
          <w:snapToGrid w:val="0"/>
          <w:kern w:val="0"/>
          <w:sz w:val="28"/>
          <w:szCs w:val="28"/>
        </w:rPr>
        <w:t>明</w:t>
      </w:r>
      <w:r>
        <w:rPr>
          <w:rFonts w:ascii="楷体_GB2312" w:eastAsia="楷体_GB2312" w:hAnsi="宋体" w:hint="eastAsia"/>
          <w:snapToGrid w:val="0"/>
          <w:kern w:val="0"/>
          <w:sz w:val="28"/>
          <w:szCs w:val="28"/>
        </w:rPr>
        <w:t>……（请写明作者单位、职务、职称、研究专长、联系方式等信息）。</w:t>
      </w:r>
    </w:p>
    <w:p w14:paraId="5484637A" w14:textId="77777777" w:rsidR="007138A3" w:rsidRDefault="007138A3" w:rsidP="0064218D">
      <w:pPr>
        <w:rPr>
          <w:rFonts w:hint="eastAsia"/>
        </w:rPr>
      </w:pPr>
    </w:p>
    <w:sectPr w:rsidR="007138A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C5E0" w14:textId="77777777" w:rsidR="009C30A0" w:rsidRDefault="009C30A0">
      <w:r>
        <w:separator/>
      </w:r>
    </w:p>
  </w:endnote>
  <w:endnote w:type="continuationSeparator" w:id="0">
    <w:p w14:paraId="60123B60" w14:textId="77777777" w:rsidR="009C30A0" w:rsidRDefault="009C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F5413F0-0186-4E6E-A858-52D3C623C92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A9604E0-9D69-4F8F-BB8D-F8DE55172EA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2EDF864-0111-4460-A3B9-ADD4FD31A6C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06AEC6E-F755-4C50-94FF-E91CC2600C6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66BC" w14:textId="77777777" w:rsidR="007138A3" w:rsidRDefault="007138A3">
    <w:pPr>
      <w:snapToGrid w:val="0"/>
      <w:jc w:val="left"/>
      <w:rPr>
        <w:snapToGrid w:val="0"/>
        <w:kern w:val="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CAC0" w14:textId="77777777" w:rsidR="007138A3" w:rsidRDefault="007138A3">
    <w:pPr>
      <w:snapToGrid w:val="0"/>
      <w:jc w:val="left"/>
      <w:rPr>
        <w:snapToGrid w:val="0"/>
        <w:kern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1D72" w14:textId="77777777" w:rsidR="007138A3" w:rsidRDefault="007138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77C4" w14:textId="77777777" w:rsidR="009C30A0" w:rsidRDefault="009C30A0">
      <w:r>
        <w:separator/>
      </w:r>
    </w:p>
  </w:footnote>
  <w:footnote w:type="continuationSeparator" w:id="0">
    <w:p w14:paraId="453D3A22" w14:textId="77777777" w:rsidR="009C30A0" w:rsidRDefault="009C30A0">
      <w:r>
        <w:continuationSeparator/>
      </w:r>
    </w:p>
  </w:footnote>
  <w:footnote w:id="1">
    <w:p w14:paraId="5CA94C1F" w14:textId="77777777" w:rsidR="007138A3" w:rsidRDefault="009C30A0">
      <w:pPr>
        <w:snapToGrid w:val="0"/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footnoteRef/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 xml:space="preserve">  XXX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：《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XXXXX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》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《人民日报》</w:t>
      </w:r>
      <w:r>
        <w:rPr>
          <w:rFonts w:ascii="Times New Roman" w:eastAsia="仿宋_GB2312" w:hAnsi="Times New Roman"/>
          <w:snapToGrid w:val="0"/>
          <w:kern w:val="0"/>
          <w:szCs w:val="21"/>
        </w:rPr>
        <w:t>2021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年</w:t>
      </w:r>
      <w:r>
        <w:rPr>
          <w:rFonts w:ascii="Times New Roman" w:eastAsia="仿宋_GB2312" w:hAnsi="Times New Roman"/>
          <w:snapToGrid w:val="0"/>
          <w:kern w:val="0"/>
          <w:szCs w:val="21"/>
        </w:rPr>
        <w:t>8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月</w:t>
      </w:r>
      <w:r>
        <w:rPr>
          <w:rFonts w:ascii="Times New Roman" w:eastAsia="仿宋_GB2312" w:hAnsi="Times New Roman"/>
          <w:snapToGrid w:val="0"/>
          <w:kern w:val="0"/>
          <w:szCs w:val="21"/>
        </w:rPr>
        <w:t>18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日。</w:t>
      </w:r>
    </w:p>
  </w:footnote>
  <w:footnote w:id="2">
    <w:p w14:paraId="65DA1EB2" w14:textId="77777777" w:rsidR="007138A3" w:rsidRDefault="009C30A0">
      <w:pPr>
        <w:snapToGrid w:val="0"/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footnoteRef/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《建党以来重要文献选编》第</w:t>
      </w:r>
      <w:r>
        <w:rPr>
          <w:rFonts w:ascii="Times New Roman" w:eastAsia="仿宋_GB2312" w:hAnsi="Times New Roman"/>
          <w:snapToGrid w:val="0"/>
          <w:kern w:val="0"/>
          <w:szCs w:val="21"/>
        </w:rPr>
        <w:t>1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册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中央文献出版社</w:t>
      </w:r>
      <w:r>
        <w:rPr>
          <w:rFonts w:ascii="Times New Roman" w:eastAsia="仿宋_GB2312" w:hAnsi="Times New Roman"/>
          <w:snapToGrid w:val="0"/>
          <w:kern w:val="0"/>
          <w:szCs w:val="21"/>
        </w:rPr>
        <w:t>2011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年版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第</w:t>
      </w:r>
      <w:r>
        <w:rPr>
          <w:rFonts w:ascii="Times New Roman" w:eastAsia="仿宋_GB2312" w:hAnsi="Times New Roman"/>
          <w:snapToGrid w:val="0"/>
          <w:kern w:val="0"/>
          <w:szCs w:val="21"/>
        </w:rPr>
        <w:t>148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页。</w:t>
      </w:r>
    </w:p>
  </w:footnote>
  <w:footnote w:id="3">
    <w:p w14:paraId="7BD87FE8" w14:textId="77777777" w:rsidR="007138A3" w:rsidRDefault="009C30A0">
      <w:pPr>
        <w:snapToGrid w:val="0"/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footnoteRef/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《毛泽东选集》第</w:t>
      </w:r>
      <w:r>
        <w:rPr>
          <w:rFonts w:ascii="Times New Roman" w:eastAsia="仿宋_GB2312" w:hAnsi="Times New Roman"/>
          <w:snapToGrid w:val="0"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卷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人民出版社</w:t>
      </w:r>
      <w:r>
        <w:rPr>
          <w:rFonts w:ascii="Times New Roman" w:eastAsia="仿宋_GB2312" w:hAnsi="Times New Roman"/>
          <w:snapToGrid w:val="0"/>
          <w:kern w:val="0"/>
          <w:szCs w:val="21"/>
        </w:rPr>
        <w:t>1991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年版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,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第</w:t>
      </w:r>
      <w:r>
        <w:rPr>
          <w:rFonts w:ascii="Times New Roman" w:eastAsia="仿宋_GB2312" w:hAnsi="Times New Roman"/>
          <w:snapToGrid w:val="0"/>
          <w:kern w:val="0"/>
          <w:szCs w:val="21"/>
        </w:rPr>
        <w:t>1095</w:t>
      </w: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A3"/>
    <w:rsid w:val="EBEB77B6"/>
    <w:rsid w:val="F5FF1298"/>
    <w:rsid w:val="0064218D"/>
    <w:rsid w:val="007138A3"/>
    <w:rsid w:val="009544FC"/>
    <w:rsid w:val="009C30A0"/>
    <w:rsid w:val="03F434D0"/>
    <w:rsid w:val="04A61623"/>
    <w:rsid w:val="0BDF18D3"/>
    <w:rsid w:val="0DCE3C49"/>
    <w:rsid w:val="0EC252C3"/>
    <w:rsid w:val="100E76C7"/>
    <w:rsid w:val="1122167C"/>
    <w:rsid w:val="172B6DB1"/>
    <w:rsid w:val="18316649"/>
    <w:rsid w:val="1C7B31EE"/>
    <w:rsid w:val="1C9A2A0F"/>
    <w:rsid w:val="1D2B3667"/>
    <w:rsid w:val="1EE31D6F"/>
    <w:rsid w:val="1F170346"/>
    <w:rsid w:val="1F36788E"/>
    <w:rsid w:val="200054D9"/>
    <w:rsid w:val="20EE7FD1"/>
    <w:rsid w:val="270F4B1E"/>
    <w:rsid w:val="273C40D6"/>
    <w:rsid w:val="2BFF63EA"/>
    <w:rsid w:val="2D36293A"/>
    <w:rsid w:val="2D452523"/>
    <w:rsid w:val="2D8A43D9"/>
    <w:rsid w:val="2E89179B"/>
    <w:rsid w:val="2F880DEC"/>
    <w:rsid w:val="341B222F"/>
    <w:rsid w:val="34471330"/>
    <w:rsid w:val="35A61FCC"/>
    <w:rsid w:val="37C376E6"/>
    <w:rsid w:val="3D5B544A"/>
    <w:rsid w:val="3EAB0813"/>
    <w:rsid w:val="409B1044"/>
    <w:rsid w:val="42562163"/>
    <w:rsid w:val="44FE788A"/>
    <w:rsid w:val="47176886"/>
    <w:rsid w:val="491D1006"/>
    <w:rsid w:val="49B06B1E"/>
    <w:rsid w:val="4B1819CA"/>
    <w:rsid w:val="4BA803F5"/>
    <w:rsid w:val="4C5E6D05"/>
    <w:rsid w:val="4D270EE9"/>
    <w:rsid w:val="4D5A571F"/>
    <w:rsid w:val="4E217FEA"/>
    <w:rsid w:val="4E2A50F1"/>
    <w:rsid w:val="507B081A"/>
    <w:rsid w:val="52F932E4"/>
    <w:rsid w:val="57D42D58"/>
    <w:rsid w:val="58AA7A94"/>
    <w:rsid w:val="5A5B4884"/>
    <w:rsid w:val="5AC71F19"/>
    <w:rsid w:val="5D551A5E"/>
    <w:rsid w:val="5D5A0992"/>
    <w:rsid w:val="630E6937"/>
    <w:rsid w:val="663330D7"/>
    <w:rsid w:val="6C5D623A"/>
    <w:rsid w:val="7403648B"/>
    <w:rsid w:val="745146F7"/>
    <w:rsid w:val="77B74D02"/>
    <w:rsid w:val="78D131C3"/>
    <w:rsid w:val="7A396538"/>
    <w:rsid w:val="7B8C4F1F"/>
    <w:rsid w:val="7F792F33"/>
    <w:rsid w:val="AB3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72682"/>
  <w15:docId w15:val="{DE941BA4-BF0E-443C-81A2-E2EEEBA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Boun WANG</cp:lastModifiedBy>
  <cp:revision>3</cp:revision>
  <cp:lastPrinted>2026-03-10T15:52:00Z</cp:lastPrinted>
  <dcterms:created xsi:type="dcterms:W3CDTF">2026-03-24T00:32:00Z</dcterms:created>
  <dcterms:modified xsi:type="dcterms:W3CDTF">2026-03-24T00:32:00Z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eyJoZGlkIjoiYjk5ODM0YmMxOWJiYWQyNDU4MGIzYWRmYTA0ZmI5NDciLCJ1c2VySWQiOiI0NDA0MzQ0MjAifQ==</vt:lpwstr>
  </property>
  <property fmtid="{D5CDD505-2E9C-101B-9397-08002B2CF9AE}" pid="4" name="ICV">
    <vt:lpwstr>4FBF6E4993B84E9A9EBBC5A4ABC0AC61_13</vt:lpwstr>
  </property>
</Properties>
</file>