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201</w:t>
      </w: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6</w:t>
      </w:r>
      <w:r>
        <w:rPr>
          <w:rFonts w:hint="eastAsia" w:ascii="黑体" w:hAnsi="黑体" w:eastAsia="黑体"/>
          <w:b/>
          <w:sz w:val="32"/>
          <w:szCs w:val="32"/>
        </w:rPr>
        <w:t>届</w:t>
      </w:r>
      <w:r>
        <w:rPr>
          <w:rFonts w:hint="eastAsia" w:ascii="黑体" w:hAnsi="黑体" w:eastAsia="黑体"/>
          <w:b/>
          <w:sz w:val="32"/>
          <w:szCs w:val="32"/>
          <w:lang w:eastAsia="zh-CN"/>
        </w:rPr>
        <w:t>教育学原理</w:t>
      </w:r>
      <w:r>
        <w:rPr>
          <w:rFonts w:hint="eastAsia" w:ascii="黑体" w:hAnsi="黑体" w:eastAsia="黑体"/>
          <w:b/>
          <w:sz w:val="32"/>
          <w:szCs w:val="32"/>
        </w:rPr>
        <w:t>硕士生答辩安排</w:t>
      </w:r>
    </w:p>
    <w:p>
      <w:pPr>
        <w:jc w:val="center"/>
        <w:rPr>
          <w:rFonts w:hint="eastAsia" w:ascii="Arial" w:cs="Arial"/>
          <w:b/>
          <w:sz w:val="28"/>
          <w:szCs w:val="28"/>
        </w:rPr>
      </w:pPr>
      <w:r>
        <w:rPr>
          <w:rFonts w:hint="eastAsia" w:ascii="Arial" w:cs="Arial"/>
          <w:b/>
          <w:sz w:val="28"/>
          <w:szCs w:val="28"/>
        </w:rPr>
        <w:t xml:space="preserve"> 8：</w:t>
      </w:r>
      <w:r>
        <w:rPr>
          <w:rFonts w:hint="eastAsia" w:ascii="Arial" w:cs="Arial"/>
          <w:b/>
          <w:sz w:val="28"/>
          <w:szCs w:val="28"/>
          <w:lang w:val="en-US" w:eastAsia="zh-CN"/>
        </w:rPr>
        <w:t>0</w:t>
      </w:r>
      <w:r>
        <w:rPr>
          <w:rFonts w:hint="eastAsia" w:ascii="Arial" w:cs="Arial"/>
          <w:b/>
          <w:sz w:val="28"/>
          <w:szCs w:val="28"/>
        </w:rPr>
        <w:t>0</w:t>
      </w:r>
      <w:r>
        <w:rPr>
          <w:rFonts w:ascii="Arial" w:cs="Arial"/>
          <w:b/>
          <w:sz w:val="28"/>
          <w:szCs w:val="28"/>
        </w:rPr>
        <w:t>~</w:t>
      </w:r>
      <w:r>
        <w:rPr>
          <w:rFonts w:hint="eastAsia" w:ascii="Arial" w:cs="Arial"/>
          <w:b/>
          <w:sz w:val="28"/>
          <w:szCs w:val="28"/>
        </w:rPr>
        <w:t>12：</w:t>
      </w:r>
      <w:r>
        <w:rPr>
          <w:rFonts w:hint="eastAsia" w:ascii="Arial" w:cs="Arial"/>
          <w:b/>
          <w:sz w:val="28"/>
          <w:szCs w:val="28"/>
          <w:lang w:val="en-US" w:eastAsia="zh-CN"/>
        </w:rPr>
        <w:t>0</w:t>
      </w:r>
      <w:r>
        <w:rPr>
          <w:rFonts w:hint="eastAsia" w:ascii="Arial" w:cs="Arial"/>
          <w:b/>
          <w:sz w:val="28"/>
          <w:szCs w:val="28"/>
        </w:rPr>
        <w:t>0</w:t>
      </w:r>
    </w:p>
    <w:p>
      <w:pPr>
        <w:spacing w:line="360" w:lineRule="auto"/>
        <w:rPr>
          <w:rFonts w:hint="eastAsia" w:ascii="华文楷体" w:hAnsi="华文楷体" w:eastAsia="华文楷体"/>
          <w:sz w:val="28"/>
          <w:szCs w:val="28"/>
        </w:rPr>
      </w:pPr>
      <w:r>
        <w:rPr>
          <w:rFonts w:hint="eastAsia" w:ascii="华文楷体" w:hAnsi="华文楷体" w:eastAsia="华文楷体"/>
          <w:sz w:val="28"/>
          <w:szCs w:val="28"/>
        </w:rPr>
        <w:t>时间：201</w:t>
      </w:r>
      <w:r>
        <w:rPr>
          <w:rFonts w:hint="eastAsia" w:ascii="华文楷体" w:hAnsi="华文楷体" w:eastAsia="华文楷体"/>
          <w:sz w:val="28"/>
          <w:szCs w:val="28"/>
          <w:lang w:val="en-US" w:eastAsia="zh-CN"/>
        </w:rPr>
        <w:t>6</w:t>
      </w:r>
      <w:r>
        <w:rPr>
          <w:rFonts w:hint="eastAsia" w:ascii="华文楷体" w:hAnsi="华文楷体" w:eastAsia="华文楷体"/>
          <w:sz w:val="28"/>
          <w:szCs w:val="28"/>
        </w:rPr>
        <w:t>年6月</w:t>
      </w:r>
      <w:r>
        <w:rPr>
          <w:rFonts w:hint="eastAsia" w:ascii="华文楷体" w:hAnsi="华文楷体" w:eastAsia="华文楷体"/>
          <w:sz w:val="28"/>
          <w:szCs w:val="28"/>
          <w:lang w:val="en-US" w:eastAsia="zh-CN"/>
        </w:rPr>
        <w:t>2</w:t>
      </w:r>
      <w:r>
        <w:rPr>
          <w:rFonts w:hint="eastAsia" w:ascii="华文楷体" w:hAnsi="华文楷体" w:eastAsia="华文楷体"/>
          <w:sz w:val="28"/>
          <w:szCs w:val="28"/>
        </w:rPr>
        <w:t xml:space="preserve">日  </w:t>
      </w:r>
      <w:r>
        <w:rPr>
          <w:rFonts w:hint="eastAsia" w:ascii="华文楷体" w:hAnsi="华文楷体" w:eastAsia="华文楷体"/>
          <w:sz w:val="28"/>
          <w:szCs w:val="28"/>
          <w:lang w:val="en-US" w:eastAsia="zh-CN"/>
        </w:rPr>
        <w:t>8:00</w:t>
      </w:r>
      <w:r>
        <w:rPr>
          <w:rFonts w:hint="eastAsia" w:ascii="华文楷体" w:hAnsi="华文楷体" w:eastAsia="华文楷体"/>
          <w:sz w:val="28"/>
          <w:szCs w:val="28"/>
        </w:rPr>
        <w:t xml:space="preserve">                  </w:t>
      </w:r>
      <w:r>
        <w:rPr>
          <w:rFonts w:hint="eastAsia" w:ascii="华文楷体" w:hAnsi="华文楷体" w:eastAsia="华文楷体"/>
          <w:sz w:val="28"/>
          <w:szCs w:val="28"/>
          <w:lang w:val="en-US" w:eastAsia="zh-CN"/>
        </w:rPr>
        <w:t xml:space="preserve">  </w:t>
      </w:r>
      <w:r>
        <w:rPr>
          <w:rFonts w:hint="eastAsia" w:ascii="华文楷体" w:hAnsi="华文楷体" w:eastAsia="华文楷体"/>
          <w:sz w:val="28"/>
          <w:szCs w:val="28"/>
        </w:rPr>
        <w:t>地点：</w:t>
      </w:r>
      <w:r>
        <w:rPr>
          <w:rFonts w:hint="eastAsia" w:ascii="华文楷体" w:hAnsi="华文楷体" w:eastAsia="华文楷体"/>
          <w:sz w:val="28"/>
          <w:szCs w:val="28"/>
          <w:lang w:val="en-US" w:eastAsia="zh-CN"/>
        </w:rPr>
        <w:t>5号楼105</w:t>
      </w:r>
    </w:p>
    <w:p>
      <w:pPr>
        <w:spacing w:line="360" w:lineRule="auto"/>
        <w:rPr>
          <w:rFonts w:hint="eastAsia" w:ascii="华文楷体" w:hAnsi="华文楷体" w:eastAsia="华文楷体"/>
          <w:sz w:val="28"/>
          <w:szCs w:val="28"/>
        </w:rPr>
      </w:pPr>
      <w:r>
        <w:rPr>
          <w:rFonts w:hint="eastAsia" w:ascii="华文楷体" w:hAnsi="华文楷体" w:eastAsia="华文楷体"/>
          <w:sz w:val="28"/>
          <w:szCs w:val="28"/>
        </w:rPr>
        <w:t>答辩委员会主席：</w:t>
      </w:r>
      <w:r>
        <w:rPr>
          <w:rFonts w:hint="eastAsia" w:ascii="华文楷体" w:hAnsi="华文楷体" w:eastAsia="华文楷体"/>
          <w:sz w:val="28"/>
          <w:szCs w:val="28"/>
          <w:lang w:eastAsia="zh-CN"/>
        </w:rPr>
        <w:t>郑淮</w:t>
      </w:r>
      <w:r>
        <w:rPr>
          <w:rFonts w:hint="eastAsia" w:ascii="华文楷体" w:hAnsi="华文楷体" w:eastAsia="华文楷体"/>
          <w:sz w:val="28"/>
          <w:szCs w:val="28"/>
        </w:rPr>
        <w:t xml:space="preserve">（华南师范大学）         </w:t>
      </w:r>
    </w:p>
    <w:p>
      <w:pPr>
        <w:spacing w:line="360" w:lineRule="auto"/>
        <w:rPr>
          <w:rFonts w:hint="eastAsia" w:ascii="华文楷体" w:hAnsi="华文楷体" w:eastAsia="华文楷体"/>
          <w:sz w:val="28"/>
          <w:szCs w:val="28"/>
          <w:lang w:eastAsia="zh-CN"/>
        </w:rPr>
      </w:pPr>
      <w:r>
        <w:rPr>
          <w:rFonts w:hint="eastAsia" w:ascii="华文楷体" w:hAnsi="华文楷体" w:eastAsia="华文楷体"/>
          <w:sz w:val="28"/>
          <w:szCs w:val="28"/>
        </w:rPr>
        <w:t>答辩委员会委员：</w:t>
      </w:r>
      <w:r>
        <w:rPr>
          <w:rFonts w:hint="eastAsia" w:ascii="华文楷体" w:hAnsi="华文楷体" w:eastAsia="华文楷体"/>
          <w:sz w:val="28"/>
          <w:szCs w:val="28"/>
          <w:lang w:eastAsia="zh-CN"/>
        </w:rPr>
        <w:t>刘社欣</w:t>
      </w:r>
      <w:r>
        <w:rPr>
          <w:rFonts w:hint="eastAsia" w:ascii="华文楷体" w:hAnsi="华文楷体" w:eastAsia="华文楷体"/>
          <w:sz w:val="28"/>
          <w:szCs w:val="28"/>
        </w:rPr>
        <w:t>、</w:t>
      </w:r>
      <w:r>
        <w:rPr>
          <w:rFonts w:hint="eastAsia" w:ascii="华文楷体" w:hAnsi="华文楷体" w:eastAsia="华文楷体"/>
          <w:sz w:val="28"/>
          <w:szCs w:val="28"/>
          <w:lang w:eastAsia="zh-CN"/>
        </w:rPr>
        <w:t>宋广文、张萌</w:t>
      </w:r>
      <w:r>
        <w:rPr>
          <w:rFonts w:hint="eastAsia" w:ascii="华文楷体" w:hAnsi="华文楷体" w:eastAsia="华文楷体"/>
          <w:sz w:val="28"/>
          <w:szCs w:val="28"/>
        </w:rPr>
        <w:t>、</w:t>
      </w:r>
      <w:r>
        <w:rPr>
          <w:rFonts w:hint="eastAsia" w:ascii="华文楷体" w:hAnsi="华文楷体" w:eastAsia="华文楷体"/>
          <w:sz w:val="28"/>
          <w:szCs w:val="28"/>
          <w:lang w:eastAsia="zh-CN"/>
        </w:rPr>
        <w:t>黄建榕</w:t>
      </w:r>
    </w:p>
    <w:p>
      <w:pPr>
        <w:spacing w:line="360" w:lineRule="auto"/>
        <w:rPr>
          <w:rFonts w:hint="eastAsia" w:ascii="华文楷体" w:hAnsi="华文楷体" w:eastAsia="华文楷体"/>
          <w:sz w:val="28"/>
          <w:szCs w:val="28"/>
          <w:lang w:val="en-US" w:eastAsia="zh-CN"/>
        </w:rPr>
      </w:pPr>
      <w:r>
        <w:rPr>
          <w:rFonts w:hint="eastAsia" w:ascii="华文楷体" w:hAnsi="华文楷体" w:eastAsia="华文楷体"/>
          <w:sz w:val="28"/>
          <w:szCs w:val="28"/>
          <w:lang w:val="en-US" w:eastAsia="zh-CN"/>
        </w:rPr>
        <w:t>答辩秘书：焦磊</w:t>
      </w:r>
    </w:p>
    <w:p>
      <w:pPr>
        <w:numPr>
          <w:ilvl w:val="0"/>
          <w:numId w:val="1"/>
        </w:numPr>
        <w:spacing w:line="360" w:lineRule="auto"/>
        <w:ind w:left="567" w:hanging="567"/>
        <w:rPr>
          <w:rFonts w:hint="eastAsia"/>
          <w:sz w:val="24"/>
        </w:rPr>
      </w:pPr>
      <w:bookmarkStart w:id="0" w:name="_GoBack"/>
      <w:bookmarkEnd w:id="0"/>
      <w:r>
        <w:rPr>
          <w:rFonts w:hint="eastAsia"/>
          <w:sz w:val="24"/>
        </w:rPr>
        <w:t>介绍本次答辩情况，介绍答辩委员会主席及专家。</w:t>
      </w:r>
    </w:p>
    <w:p>
      <w:pPr>
        <w:numPr>
          <w:ilvl w:val="0"/>
          <w:numId w:val="1"/>
        </w:numPr>
        <w:spacing w:line="360" w:lineRule="auto"/>
        <w:ind w:left="567" w:hanging="567"/>
        <w:rPr>
          <w:rFonts w:hint="eastAsia"/>
          <w:sz w:val="24"/>
        </w:rPr>
      </w:pPr>
      <w:r>
        <w:rPr>
          <w:rFonts w:hint="eastAsia"/>
          <w:sz w:val="24"/>
        </w:rPr>
        <w:t>答辩委员会主席主持答辩会，宣布开始答辩。</w:t>
      </w:r>
    </w:p>
    <w:p>
      <w:pPr>
        <w:numPr>
          <w:ilvl w:val="0"/>
          <w:numId w:val="1"/>
        </w:numPr>
        <w:spacing w:line="360" w:lineRule="auto"/>
        <w:ind w:left="567" w:hanging="567"/>
        <w:rPr>
          <w:rFonts w:hint="eastAsia"/>
          <w:sz w:val="24"/>
        </w:rPr>
      </w:pPr>
      <w:r>
        <w:rPr>
          <w:rFonts w:hint="eastAsia"/>
          <w:sz w:val="24"/>
        </w:rPr>
        <w:t xml:space="preserve">答辩流程： </w:t>
      </w:r>
    </w:p>
    <w:p>
      <w:pPr>
        <w:spacing w:line="360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1.主席介绍学位论文报告人姓名及题目。</w:t>
      </w:r>
    </w:p>
    <w:p>
      <w:pPr>
        <w:spacing w:line="360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2.</w:t>
      </w:r>
      <w:r>
        <w:rPr>
          <w:sz w:val="24"/>
        </w:rPr>
        <w:t>学生</w:t>
      </w:r>
      <w:r>
        <w:rPr>
          <w:rFonts w:hint="eastAsia"/>
          <w:sz w:val="24"/>
        </w:rPr>
        <w:t>PPT汇报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rFonts w:hint="eastAsia"/>
          <w:sz w:val="24"/>
        </w:rPr>
        <w:t>→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rFonts w:hint="eastAsia"/>
          <w:sz w:val="24"/>
        </w:rPr>
        <w:t>秘书</w:t>
      </w:r>
      <w:r>
        <w:rPr>
          <w:sz w:val="24"/>
        </w:rPr>
        <w:t>宣读评阅</w:t>
      </w:r>
      <w:r>
        <w:rPr>
          <w:rFonts w:hint="eastAsia"/>
          <w:sz w:val="24"/>
        </w:rPr>
        <w:t>人学术评语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rFonts w:hint="eastAsia"/>
          <w:sz w:val="24"/>
        </w:rPr>
        <w:t>→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rFonts w:hint="eastAsia"/>
          <w:sz w:val="24"/>
        </w:rPr>
        <w:t>学生就学术评语中的意见作出回答→</w:t>
      </w:r>
      <w:r>
        <w:rPr>
          <w:sz w:val="24"/>
        </w:rPr>
        <w:t>专家提问</w:t>
      </w:r>
      <w:r>
        <w:rPr>
          <w:rFonts w:hint="eastAsia"/>
          <w:sz w:val="24"/>
        </w:rPr>
        <w:t>与学生答辩</w:t>
      </w:r>
      <w:r>
        <w:rPr>
          <w:sz w:val="24"/>
        </w:rPr>
        <w:t>专家提问</w:t>
      </w:r>
      <w:r>
        <w:rPr>
          <w:rFonts w:hint="eastAsia"/>
          <w:sz w:val="24"/>
        </w:rPr>
        <w:t>与学生答辩</w:t>
      </w:r>
      <w:r>
        <w:rPr>
          <w:rFonts w:hint="eastAsia"/>
          <w:sz w:val="24"/>
          <w:lang w:eastAsia="zh-CN"/>
        </w:rPr>
        <w:t>。</w:t>
      </w:r>
      <w:r>
        <w:rPr>
          <w:rFonts w:hint="eastAsia"/>
          <w:sz w:val="24"/>
        </w:rPr>
        <w:t xml:space="preserve"> 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四、答辩委员会讨论答辩决议；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五、主席宣布表决结果和答辩委员会决议。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答辩名单列表：</w:t>
      </w:r>
    </w:p>
    <w:tbl>
      <w:tblPr>
        <w:tblStyle w:val="3"/>
        <w:tblW w:w="98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"/>
        <w:gridCol w:w="5602"/>
        <w:gridCol w:w="1602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序号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b/>
                <w:bCs/>
                <w:color w:val="000000"/>
                <w:sz w:val="24"/>
              </w:rPr>
              <w:t xml:space="preserve">题目 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b/>
                <w:bCs/>
                <w:color w:val="000000"/>
                <w:sz w:val="24"/>
              </w:rPr>
              <w:t>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 w:bidi="ar"/>
              </w:rPr>
              <w:t>领导风格与心理资本对高校科研团队绩效的影响研究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 w:bidi="ar"/>
              </w:rPr>
              <w:t>董存妮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宋广文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 w:bidi="ar"/>
              </w:rPr>
              <w:t>人格特征与价值取向在中国大学生心理疾病污名中的作用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 w:bidi="ar"/>
              </w:rPr>
              <w:t>李歆乐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张萌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 w:bidi="ar"/>
              </w:rPr>
              <w:t>高等职业院校教师心理资本、职业认同及职业倦怠关系研究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路东伟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黄建榕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9897" w:type="dxa"/>
            <w:gridSpan w:val="4"/>
            <w:shd w:val="clear" w:color="auto" w:fill="D9D9D9"/>
            <w:vAlign w:val="center"/>
          </w:tcPr>
          <w:p>
            <w:pPr>
              <w:jc w:val="center"/>
              <w:rPr>
                <w:rFonts w:hint="eastAsia" w:ascii="华文楷体" w:hAnsi="华文楷体" w:eastAsia="华文楷体"/>
                <w:b/>
                <w:color w:val="000000"/>
                <w:sz w:val="24"/>
              </w:rPr>
            </w:pPr>
            <w:r>
              <w:rPr>
                <w:rFonts w:hint="eastAsia" w:ascii="华文楷体" w:hAnsi="华文楷体" w:eastAsia="华文楷体"/>
                <w:b/>
                <w:color w:val="000000"/>
                <w:sz w:val="24"/>
              </w:rPr>
              <w:t>休息10分钟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 w:bidi="ar"/>
              </w:rPr>
              <w:t>全日制硕士专业学位研究生实践能力结构研究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李晴虹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向兴华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 w:bidi="ar"/>
              </w:rPr>
              <w:t>广东省高职本科教育需求及发展策略研究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卢薇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刘社欣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560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 w:bidi="ar"/>
              </w:rPr>
              <w:t>广东省新型研发机构创新模式与机制研究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张珊珊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张明</w:t>
            </w: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mbria Math">
    <w:panose1 w:val="02040503050406030204"/>
    <w:charset w:val="01"/>
    <w:family w:val="auto"/>
    <w:pitch w:val="default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D967F7"/>
    <w:multiLevelType w:val="multilevel"/>
    <w:tmpl w:val="41D967F7"/>
    <w:lvl w:ilvl="0" w:tentative="0">
      <w:start w:val="1"/>
      <w:numFmt w:val="chineseCountingThousand"/>
      <w:lvlText w:val="%1、"/>
      <w:lvlJc w:val="left"/>
      <w:pPr>
        <w:ind w:left="420" w:hanging="420"/>
      </w:pPr>
      <w:rPr>
        <w:lang w:val="en-US"/>
      </w:rPr>
    </w:lvl>
    <w:lvl w:ilvl="1" w:tentative="0">
      <w:start w:val="1"/>
      <w:numFmt w:val="decimal"/>
      <w:lvlText w:val="%2."/>
      <w:lvlJc w:val="left"/>
      <w:pPr>
        <w:ind w:left="78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C3F8C"/>
    <w:rsid w:val="0428491A"/>
    <w:rsid w:val="093D549B"/>
    <w:rsid w:val="1DD332ED"/>
    <w:rsid w:val="24FD1AFC"/>
    <w:rsid w:val="254775F1"/>
    <w:rsid w:val="26FF5B17"/>
    <w:rsid w:val="3CD23640"/>
    <w:rsid w:val="3E0C3F8C"/>
    <w:rsid w:val="45C8644D"/>
    <w:rsid w:val="574F053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2016-05-24T07:25:00Z</dcterms:created>
  <dc:creator>qw</dc:creator>
  <cp:lastModifiedBy>qw</cp:lastModifiedBy>
  <cp:lastPrinted>2016-06-01T10:07:00Z</cp:lastPrinted>
  <dcterms:modified xsi:type="dcterms:W3CDTF">2016-06-01T10:53:00Z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