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C6" w:rsidRDefault="00DE6EC6">
      <w:pPr>
        <w:rPr>
          <w:rFonts w:ascii="Times New Roman" w:hAnsi="Times New Roman" w:cs="Times New Roman"/>
          <w:color w:val="auto"/>
        </w:rPr>
      </w:pPr>
    </w:p>
    <w:tbl>
      <w:tblPr>
        <w:tblW w:w="10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2"/>
        <w:gridCol w:w="1481"/>
        <w:gridCol w:w="460"/>
        <w:gridCol w:w="1461"/>
        <w:gridCol w:w="500"/>
        <w:gridCol w:w="720"/>
        <w:gridCol w:w="980"/>
        <w:gridCol w:w="1281"/>
        <w:gridCol w:w="980"/>
        <w:gridCol w:w="940"/>
        <w:gridCol w:w="861"/>
      </w:tblGrid>
      <w:tr w:rsidR="00DE6EC6">
        <w:tblPrEx>
          <w:tblCellMar>
            <w:top w:w="0" w:type="dxa"/>
            <w:bottom w:w="0" w:type="dxa"/>
          </w:tblCellMar>
        </w:tblPrEx>
        <w:trPr>
          <w:trHeight w:val="700"/>
          <w:jc w:val="center"/>
        </w:trPr>
        <w:tc>
          <w:tcPr>
            <w:tcW w:w="10890" w:type="dxa"/>
            <w:gridSpan w:val="11"/>
            <w:tcBorders>
              <w:top w:val="nil"/>
              <w:left w:val="nil"/>
              <w:bottom w:val="nil"/>
              <w:right w:val="nil"/>
            </w:tcBorders>
            <w:shd w:val="clear" w:color="auto" w:fill="FFFFFF"/>
            <w:vAlign w:val="center"/>
          </w:tcPr>
          <w:p w:rsidR="00DE6EC6" w:rsidRDefault="00A00CDC">
            <w:pPr>
              <w:spacing w:line="32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1943100" cy="4381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43100" cy="438150"/>
                          </a:xfrm>
                          <a:prstGeom prst="rect">
                            <a:avLst/>
                          </a:prstGeom>
                          <a:noFill/>
                          <a:ln w="9525">
                            <a:noFill/>
                            <a:miter lim="800000"/>
                            <a:headEnd/>
                            <a:tailEnd/>
                          </a:ln>
                        </pic:spPr>
                      </pic:pic>
                    </a:graphicData>
                  </a:graphic>
                </wp:inline>
              </w:drawing>
            </w:r>
          </w:p>
        </w:tc>
      </w:tr>
      <w:tr w:rsidR="00DE6EC6">
        <w:tblPrEx>
          <w:tblCellMar>
            <w:top w:w="0" w:type="dxa"/>
            <w:bottom w:w="0" w:type="dxa"/>
          </w:tblCellMar>
        </w:tblPrEx>
        <w:trPr>
          <w:trHeight w:val="220"/>
          <w:jc w:val="center"/>
        </w:trPr>
        <w:tc>
          <w:tcPr>
            <w:tcW w:w="123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147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45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145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49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71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97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127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97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939"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c>
          <w:tcPr>
            <w:tcW w:w="860" w:type="dxa"/>
            <w:tcBorders>
              <w:top w:val="nil"/>
              <w:left w:val="nil"/>
              <w:bottom w:val="single" w:sz="6" w:space="0" w:color="000000"/>
              <w:right w:val="nil"/>
            </w:tcBorders>
            <w:shd w:val="clear" w:color="auto" w:fill="FFFFFF"/>
            <w:vAlign w:val="center"/>
          </w:tcPr>
          <w:p w:rsidR="00DE6EC6" w:rsidRDefault="00DE6EC6">
            <w:pPr>
              <w:rPr>
                <w:rFonts w:ascii="宋体" w:eastAsia="宋体" w:hAnsi="Times New Roman" w:cs="宋体"/>
                <w:sz w:val="18"/>
                <w:szCs w:val="18"/>
              </w:rPr>
            </w:pPr>
          </w:p>
        </w:tc>
      </w:tr>
      <w:tr w:rsidR="00DE6EC6">
        <w:tblPrEx>
          <w:tblCellMar>
            <w:top w:w="0" w:type="dxa"/>
            <w:bottom w:w="0" w:type="dxa"/>
          </w:tblCellMar>
        </w:tblPrEx>
        <w:trPr>
          <w:trHeight w:val="1200"/>
          <w:jc w:val="center"/>
        </w:trPr>
        <w:tc>
          <w:tcPr>
            <w:tcW w:w="10890" w:type="dxa"/>
            <w:gridSpan w:val="11"/>
            <w:tcBorders>
              <w:top w:val="single" w:sz="6" w:space="0" w:color="000000"/>
              <w:left w:val="nil"/>
              <w:bottom w:val="nil"/>
              <w:right w:val="nil"/>
            </w:tcBorders>
            <w:shd w:val="clear" w:color="auto" w:fill="FFFFFF"/>
            <w:vAlign w:val="center"/>
          </w:tcPr>
          <w:p w:rsidR="00DE6EC6" w:rsidRDefault="00DE6EC6">
            <w:pPr>
              <w:jc w:val="center"/>
              <w:rPr>
                <w:rFonts w:ascii="宋体" w:eastAsia="宋体" w:hAnsi="Times New Roman" w:cs="宋体"/>
                <w:sz w:val="40"/>
                <w:szCs w:val="40"/>
              </w:rPr>
            </w:pPr>
            <w:r>
              <w:rPr>
                <w:rFonts w:ascii="宋体" w:eastAsia="宋体" w:hAnsi="Times New Roman" w:cs="宋体" w:hint="eastAsia"/>
                <w:b/>
                <w:bCs/>
                <w:sz w:val="40"/>
                <w:szCs w:val="40"/>
              </w:rPr>
              <w:t>非全日制专业学位硕士研究生培养方案</w:t>
            </w:r>
          </w:p>
        </w:tc>
      </w:tr>
      <w:tr w:rsidR="00DE6EC6">
        <w:tblPrEx>
          <w:tblCellMar>
            <w:top w:w="0" w:type="dxa"/>
            <w:bottom w:w="0" w:type="dxa"/>
          </w:tblCellMar>
        </w:tblPrEx>
        <w:trPr>
          <w:trHeight w:val="1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0"/>
                <w:szCs w:val="10"/>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一级学科名称</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hint="eastAsia"/>
                <w:b/>
                <w:bCs/>
                <w:sz w:val="28"/>
                <w:szCs w:val="28"/>
              </w:rPr>
              <w:t>工程硕士、工程博士</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9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71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一级学科代码</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b/>
                <w:bCs/>
                <w:sz w:val="28"/>
                <w:szCs w:val="28"/>
              </w:rPr>
              <w:t>0852</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9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71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二级学科名称</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hint="eastAsia"/>
                <w:b/>
                <w:bCs/>
                <w:sz w:val="28"/>
                <w:szCs w:val="28"/>
              </w:rPr>
              <w:t>交通运输工程</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9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71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二级学科代码</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b/>
                <w:bCs/>
                <w:sz w:val="28"/>
                <w:szCs w:val="28"/>
              </w:rPr>
              <w:t>085222</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49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71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7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适用学位类别</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hint="eastAsia"/>
                <w:b/>
                <w:bCs/>
                <w:sz w:val="28"/>
                <w:szCs w:val="28"/>
              </w:rPr>
              <w:t>非全日制专业学位硕士</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455" w:type="dxa"/>
            <w:gridSpan w:val="5"/>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适用年级</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b/>
                <w:bCs/>
                <w:sz w:val="28"/>
                <w:szCs w:val="28"/>
              </w:rPr>
              <w:t>2019</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455" w:type="dxa"/>
            <w:gridSpan w:val="5"/>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学院名称</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hint="eastAsia"/>
                <w:b/>
                <w:bCs/>
                <w:sz w:val="28"/>
                <w:szCs w:val="28"/>
              </w:rPr>
              <w:t>土木与交通学院</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4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147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1459" w:type="dxa"/>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
                <w:szCs w:val="2"/>
              </w:rPr>
            </w:pPr>
          </w:p>
        </w:tc>
        <w:tc>
          <w:tcPr>
            <w:tcW w:w="4455" w:type="dxa"/>
            <w:gridSpan w:val="5"/>
            <w:tcBorders>
              <w:top w:val="single" w:sz="6" w:space="0" w:color="000000"/>
              <w:left w:val="nil"/>
              <w:bottom w:val="nil"/>
              <w:right w:val="nil"/>
            </w:tcBorders>
            <w:shd w:val="clear" w:color="auto" w:fill="FFFFFF"/>
            <w:vAlign w:val="bottom"/>
          </w:tcPr>
          <w:p w:rsidR="00DE6EC6" w:rsidRDefault="00DE6EC6">
            <w:pPr>
              <w:ind w:left="80"/>
              <w:rPr>
                <w:rFonts w:ascii="宋体" w:eastAsia="宋体" w:hAnsi="Times New Roman" w:cs="宋体"/>
                <w:sz w:val="2"/>
                <w:szCs w:val="2"/>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2"/>
                <w:szCs w:val="2"/>
              </w:rPr>
            </w:pPr>
          </w:p>
        </w:tc>
      </w:tr>
      <w:tr w:rsidR="00DE6EC6">
        <w:tblPrEx>
          <w:tblCellMar>
            <w:top w:w="0" w:type="dxa"/>
            <w:bottom w:w="0" w:type="dxa"/>
          </w:tblCellMar>
        </w:tblPrEx>
        <w:trPr>
          <w:trHeight w:val="6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3397" w:type="dxa"/>
            <w:gridSpan w:val="3"/>
            <w:tcBorders>
              <w:top w:val="nil"/>
              <w:left w:val="nil"/>
              <w:bottom w:val="nil"/>
              <w:right w:val="nil"/>
            </w:tcBorders>
            <w:shd w:val="clear" w:color="auto" w:fill="FFFFFF"/>
            <w:vAlign w:val="bottom"/>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填表日期</w:t>
            </w:r>
          </w:p>
        </w:tc>
        <w:tc>
          <w:tcPr>
            <w:tcW w:w="4455" w:type="dxa"/>
            <w:gridSpan w:val="5"/>
            <w:tcBorders>
              <w:top w:val="nil"/>
              <w:left w:val="nil"/>
              <w:bottom w:val="single" w:sz="6" w:space="0" w:color="000000"/>
              <w:right w:val="nil"/>
            </w:tcBorders>
            <w:shd w:val="clear" w:color="auto" w:fill="FFFFFF"/>
            <w:vAlign w:val="bottom"/>
          </w:tcPr>
          <w:p w:rsidR="00DE6EC6" w:rsidRDefault="00DE6EC6">
            <w:pPr>
              <w:ind w:left="80"/>
              <w:rPr>
                <w:rFonts w:ascii="宋体" w:eastAsia="宋体" w:hAnsi="Times New Roman" w:cs="宋体"/>
                <w:sz w:val="28"/>
                <w:szCs w:val="28"/>
              </w:rPr>
            </w:pPr>
            <w:r>
              <w:rPr>
                <w:rFonts w:ascii="宋体" w:eastAsia="宋体" w:hAnsi="Times New Roman" w:cs="宋体"/>
                <w:b/>
                <w:bCs/>
                <w:sz w:val="28"/>
                <w:szCs w:val="28"/>
              </w:rPr>
              <w:t>2019</w:t>
            </w:r>
            <w:r>
              <w:rPr>
                <w:rFonts w:ascii="宋体" w:eastAsia="宋体" w:hAnsi="Times New Roman" w:cs="宋体" w:hint="eastAsia"/>
                <w:b/>
                <w:bCs/>
                <w:sz w:val="28"/>
                <w:szCs w:val="28"/>
              </w:rPr>
              <w:t>年</w:t>
            </w:r>
            <w:r>
              <w:rPr>
                <w:rFonts w:ascii="宋体" w:eastAsia="宋体" w:hAnsi="Times New Roman" w:cs="宋体"/>
                <w:b/>
                <w:bCs/>
                <w:sz w:val="28"/>
                <w:szCs w:val="28"/>
              </w:rPr>
              <w:t>10</w:t>
            </w:r>
            <w:r>
              <w:rPr>
                <w:rFonts w:ascii="宋体" w:eastAsia="宋体" w:hAnsi="Times New Roman" w:cs="宋体" w:hint="eastAsia"/>
                <w:b/>
                <w:bCs/>
                <w:sz w:val="28"/>
                <w:szCs w:val="28"/>
              </w:rPr>
              <w:t>月</w:t>
            </w:r>
            <w:r>
              <w:rPr>
                <w:rFonts w:ascii="宋体" w:eastAsia="宋体" w:hAnsi="Times New Roman" w:cs="宋体"/>
                <w:b/>
                <w:bCs/>
                <w:sz w:val="28"/>
                <w:szCs w:val="28"/>
              </w:rPr>
              <w:t>08</w:t>
            </w:r>
            <w:r>
              <w:rPr>
                <w:rFonts w:ascii="宋体" w:eastAsia="宋体" w:hAnsi="Times New Roman" w:cs="宋体" w:hint="eastAsia"/>
                <w:b/>
                <w:bCs/>
                <w:sz w:val="28"/>
                <w:szCs w:val="28"/>
              </w:rPr>
              <w:t>日</w:t>
            </w: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90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single" w:sz="6" w:space="0" w:color="000000"/>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900"/>
          <w:jc w:val="center"/>
        </w:trPr>
        <w:tc>
          <w:tcPr>
            <w:tcW w:w="10890" w:type="dxa"/>
            <w:gridSpan w:val="11"/>
            <w:tcBorders>
              <w:top w:val="nil"/>
              <w:left w:val="nil"/>
              <w:bottom w:val="nil"/>
              <w:right w:val="nil"/>
            </w:tcBorders>
            <w:shd w:val="clear" w:color="auto" w:fill="FFFFFF"/>
            <w:vAlign w:val="center"/>
          </w:tcPr>
          <w:p w:rsidR="00DE6EC6" w:rsidRDefault="00DE6EC6">
            <w:pPr>
              <w:jc w:val="center"/>
              <w:rPr>
                <w:rFonts w:ascii="宋体" w:eastAsia="宋体" w:hAnsi="Times New Roman" w:cs="宋体"/>
                <w:sz w:val="28"/>
                <w:szCs w:val="28"/>
              </w:rPr>
            </w:pPr>
            <w:r>
              <w:rPr>
                <w:rFonts w:ascii="宋体" w:eastAsia="宋体" w:hAnsi="Times New Roman" w:cs="宋体" w:hint="eastAsia"/>
                <w:b/>
                <w:bCs/>
                <w:sz w:val="28"/>
                <w:szCs w:val="28"/>
              </w:rPr>
              <w:t>华南理工大学研究生院制表</w:t>
            </w:r>
          </w:p>
        </w:tc>
      </w:tr>
      <w:tr w:rsidR="00DE6EC6">
        <w:tblPrEx>
          <w:tblCellMar>
            <w:top w:w="0" w:type="dxa"/>
            <w:bottom w:w="0" w:type="dxa"/>
          </w:tblCellMar>
        </w:tblPrEx>
        <w:trPr>
          <w:trHeight w:val="820"/>
          <w:jc w:val="center"/>
        </w:trPr>
        <w:tc>
          <w:tcPr>
            <w:tcW w:w="10890" w:type="dxa"/>
            <w:gridSpan w:val="11"/>
            <w:tcBorders>
              <w:top w:val="nil"/>
              <w:left w:val="nil"/>
              <w:bottom w:val="nil"/>
              <w:right w:val="nil"/>
            </w:tcBorders>
            <w:shd w:val="clear" w:color="auto" w:fill="FFFFFF"/>
            <w:vAlign w:val="center"/>
          </w:tcPr>
          <w:p w:rsidR="00DE6EC6" w:rsidRDefault="00DE6EC6">
            <w:pPr>
              <w:ind w:left="120"/>
              <w:rPr>
                <w:rFonts w:ascii="宋体" w:eastAsia="宋体" w:hAnsi="Times New Roman" w:cs="宋体"/>
                <w:sz w:val="28"/>
                <w:szCs w:val="28"/>
              </w:rPr>
            </w:pPr>
            <w:r>
              <w:rPr>
                <w:rFonts w:ascii="宋体" w:eastAsia="宋体" w:hAnsi="Times New Roman" w:cs="宋体" w:hint="eastAsia"/>
                <w:b/>
                <w:bCs/>
                <w:sz w:val="28"/>
                <w:szCs w:val="28"/>
              </w:rPr>
              <w:t>分会主席签名</w:t>
            </w:r>
            <w:r>
              <w:rPr>
                <w:rFonts w:ascii="宋体" w:eastAsia="宋体" w:hAnsi="Times New Roman" w:cs="宋体"/>
                <w:b/>
                <w:bCs/>
                <w:sz w:val="28"/>
                <w:szCs w:val="28"/>
              </w:rPr>
              <w:t>(</w:t>
            </w:r>
            <w:r>
              <w:rPr>
                <w:rFonts w:ascii="宋体" w:eastAsia="宋体" w:hAnsi="Times New Roman" w:cs="宋体" w:hint="eastAsia"/>
                <w:b/>
                <w:bCs/>
                <w:sz w:val="28"/>
                <w:szCs w:val="28"/>
              </w:rPr>
              <w:t>学院公章</w:t>
            </w:r>
            <w:r>
              <w:rPr>
                <w:rFonts w:ascii="宋体" w:eastAsia="宋体" w:hAnsi="Times New Roman" w:cs="宋体"/>
                <w:b/>
                <w:bCs/>
                <w:sz w:val="28"/>
                <w:szCs w:val="28"/>
              </w:rPr>
              <w:t>)</w:t>
            </w:r>
            <w:r>
              <w:rPr>
                <w:rFonts w:ascii="宋体" w:eastAsia="宋体" w:hAnsi="Times New Roman" w:cs="宋体" w:hint="eastAsia"/>
                <w:b/>
                <w:bCs/>
                <w:sz w:val="28"/>
                <w:szCs w:val="28"/>
              </w:rPr>
              <w:t>：</w:t>
            </w:r>
          </w:p>
        </w:tc>
      </w:tr>
      <w:tr w:rsidR="00DE6EC6">
        <w:tblPrEx>
          <w:tblCellMar>
            <w:top w:w="0" w:type="dxa"/>
            <w:bottom w:w="0" w:type="dxa"/>
          </w:tblCellMar>
        </w:tblPrEx>
        <w:trPr>
          <w:trHeight w:val="820"/>
          <w:jc w:val="center"/>
        </w:trPr>
        <w:tc>
          <w:tcPr>
            <w:tcW w:w="10890" w:type="dxa"/>
            <w:gridSpan w:val="11"/>
            <w:tcBorders>
              <w:top w:val="nil"/>
              <w:left w:val="nil"/>
              <w:bottom w:val="nil"/>
              <w:right w:val="nil"/>
            </w:tcBorders>
            <w:shd w:val="clear" w:color="auto" w:fill="FFFFFF"/>
            <w:vAlign w:val="center"/>
          </w:tcPr>
          <w:p w:rsidR="00DE6EC6" w:rsidRDefault="00DE6EC6">
            <w:pPr>
              <w:ind w:left="120"/>
              <w:rPr>
                <w:rFonts w:ascii="宋体" w:eastAsia="宋体" w:hAnsi="Times New Roman" w:cs="宋体"/>
                <w:sz w:val="28"/>
                <w:szCs w:val="28"/>
              </w:rPr>
            </w:pPr>
            <w:r>
              <w:rPr>
                <w:rFonts w:ascii="宋体" w:eastAsia="宋体" w:hAnsi="Times New Roman" w:cs="宋体" w:hint="eastAsia"/>
                <w:b/>
                <w:bCs/>
                <w:sz w:val="28"/>
                <w:szCs w:val="28"/>
              </w:rPr>
              <w:t>工作小组签名：</w:t>
            </w:r>
          </w:p>
        </w:tc>
      </w:tr>
      <w:tr w:rsidR="00DE6EC6">
        <w:tblPrEx>
          <w:tblCellMar>
            <w:top w:w="0" w:type="dxa"/>
            <w:bottom w:w="0" w:type="dxa"/>
          </w:tblCellMar>
        </w:tblPrEx>
        <w:trPr>
          <w:trHeight w:val="820"/>
          <w:jc w:val="center"/>
        </w:trPr>
        <w:tc>
          <w:tcPr>
            <w:tcW w:w="10890" w:type="dxa"/>
            <w:gridSpan w:val="11"/>
            <w:tcBorders>
              <w:top w:val="nil"/>
              <w:left w:val="nil"/>
              <w:bottom w:val="nil"/>
              <w:right w:val="nil"/>
            </w:tcBorders>
            <w:shd w:val="clear" w:color="auto" w:fill="FFFFFF"/>
            <w:vAlign w:val="center"/>
          </w:tcPr>
          <w:p w:rsidR="00DE6EC6" w:rsidRDefault="00DE6EC6">
            <w:pPr>
              <w:ind w:left="720"/>
              <w:rPr>
                <w:rFonts w:ascii="宋体" w:eastAsia="宋体" w:hAnsi="Times New Roman" w:cs="宋体"/>
                <w:sz w:val="28"/>
                <w:szCs w:val="28"/>
              </w:rPr>
            </w:pPr>
            <w:r>
              <w:rPr>
                <w:rFonts w:ascii="宋体" w:eastAsia="宋体" w:hAnsi="Times New Roman" w:cs="宋体" w:hint="eastAsia"/>
                <w:b/>
                <w:bCs/>
                <w:sz w:val="28"/>
                <w:szCs w:val="28"/>
              </w:rPr>
              <w:t>组长：</w:t>
            </w:r>
          </w:p>
        </w:tc>
      </w:tr>
      <w:tr w:rsidR="00DE6EC6">
        <w:tblPrEx>
          <w:tblCellMar>
            <w:top w:w="0" w:type="dxa"/>
            <w:bottom w:w="0" w:type="dxa"/>
          </w:tblCellMar>
        </w:tblPrEx>
        <w:trPr>
          <w:trHeight w:val="820"/>
          <w:jc w:val="center"/>
        </w:trPr>
        <w:tc>
          <w:tcPr>
            <w:tcW w:w="10890" w:type="dxa"/>
            <w:gridSpan w:val="11"/>
            <w:tcBorders>
              <w:top w:val="nil"/>
              <w:left w:val="nil"/>
              <w:bottom w:val="nil"/>
              <w:right w:val="nil"/>
            </w:tcBorders>
            <w:shd w:val="clear" w:color="auto" w:fill="FFFFFF"/>
            <w:vAlign w:val="center"/>
          </w:tcPr>
          <w:p w:rsidR="00DE6EC6" w:rsidRDefault="00DE6EC6">
            <w:pPr>
              <w:ind w:left="720"/>
              <w:rPr>
                <w:rFonts w:ascii="宋体" w:eastAsia="宋体" w:hAnsi="Times New Roman" w:cs="宋体"/>
                <w:sz w:val="28"/>
                <w:szCs w:val="28"/>
              </w:rPr>
            </w:pPr>
            <w:r>
              <w:rPr>
                <w:rFonts w:ascii="宋体" w:eastAsia="宋体" w:hAnsi="Times New Roman" w:cs="宋体" w:hint="eastAsia"/>
                <w:b/>
                <w:bCs/>
                <w:sz w:val="28"/>
                <w:szCs w:val="28"/>
              </w:rPr>
              <w:t>成员：</w:t>
            </w:r>
          </w:p>
        </w:tc>
      </w:tr>
      <w:tr w:rsidR="00DE6EC6">
        <w:tblPrEx>
          <w:tblCellMar>
            <w:top w:w="0" w:type="dxa"/>
            <w:bottom w:w="0" w:type="dxa"/>
          </w:tblCellMar>
        </w:tblPrEx>
        <w:trPr>
          <w:trHeight w:val="8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bl>
    <w:p w:rsidR="00DE6EC6" w:rsidRDefault="00DE6EC6">
      <w:pPr>
        <w:rPr>
          <w:rFonts w:ascii="宋体" w:eastAsia="宋体" w:hAnsi="Times New Roman" w:cs="宋体"/>
        </w:rPr>
      </w:pPr>
      <w:r>
        <w:rPr>
          <w:rFonts w:ascii="宋体" w:eastAsia="宋体" w:hAnsi="Times New Roman" w:cs="宋体"/>
        </w:rPr>
        <w:br w:type="page"/>
      </w:r>
    </w:p>
    <w:tbl>
      <w:tblPr>
        <w:tblW w:w="10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2"/>
        <w:gridCol w:w="1481"/>
        <w:gridCol w:w="460"/>
        <w:gridCol w:w="1461"/>
        <w:gridCol w:w="500"/>
        <w:gridCol w:w="720"/>
        <w:gridCol w:w="980"/>
        <w:gridCol w:w="1281"/>
        <w:gridCol w:w="980"/>
        <w:gridCol w:w="940"/>
        <w:gridCol w:w="861"/>
      </w:tblGrid>
      <w:tr w:rsidR="00DE6EC6">
        <w:tblPrEx>
          <w:tblCellMar>
            <w:top w:w="0" w:type="dxa"/>
            <w:bottom w:w="0" w:type="dxa"/>
          </w:tblCellMar>
        </w:tblPrEx>
        <w:trPr>
          <w:trHeight w:val="20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r>
      <w:tr w:rsidR="00DE6EC6">
        <w:tblPrEx>
          <w:tblCellMar>
            <w:top w:w="0" w:type="dxa"/>
            <w:bottom w:w="0" w:type="dxa"/>
          </w:tblCellMar>
        </w:tblPrEx>
        <w:trPr>
          <w:trHeight w:val="820"/>
          <w:jc w:val="center"/>
        </w:trPr>
        <w:tc>
          <w:tcPr>
            <w:tcW w:w="10890" w:type="dxa"/>
            <w:gridSpan w:val="11"/>
            <w:tcBorders>
              <w:top w:val="nil"/>
              <w:left w:val="nil"/>
              <w:bottom w:val="nil"/>
              <w:right w:val="nil"/>
            </w:tcBorders>
            <w:shd w:val="clear" w:color="auto" w:fill="FFFFFF"/>
          </w:tcPr>
          <w:p w:rsidR="00DE6EC6" w:rsidRDefault="00DE6EC6">
            <w:pPr>
              <w:jc w:val="center"/>
              <w:rPr>
                <w:rFonts w:ascii="宋体" w:eastAsia="宋体" w:hAnsi="Times New Roman" w:cs="宋体"/>
                <w:sz w:val="44"/>
                <w:szCs w:val="44"/>
              </w:rPr>
            </w:pPr>
            <w:r>
              <w:rPr>
                <w:rFonts w:ascii="宋体" w:eastAsia="宋体" w:hAnsi="Times New Roman" w:cs="宋体" w:hint="eastAsia"/>
                <w:b/>
                <w:bCs/>
                <w:sz w:val="44"/>
                <w:szCs w:val="44"/>
              </w:rPr>
              <w:t>交通运输工程</w:t>
            </w:r>
            <w:r>
              <w:rPr>
                <w:rFonts w:ascii="宋体" w:eastAsia="宋体" w:hAnsi="Times New Roman" w:cs="宋体"/>
                <w:b/>
                <w:bCs/>
                <w:sz w:val="44"/>
                <w:szCs w:val="44"/>
              </w:rPr>
              <w:t>[</w:t>
            </w:r>
            <w:r>
              <w:rPr>
                <w:rFonts w:ascii="宋体" w:eastAsia="宋体" w:hAnsi="Times New Roman" w:cs="宋体" w:hint="eastAsia"/>
                <w:b/>
                <w:bCs/>
                <w:sz w:val="44"/>
                <w:szCs w:val="44"/>
              </w:rPr>
              <w:t>非全日制专业学位硕士</w:t>
            </w:r>
            <w:r>
              <w:rPr>
                <w:rFonts w:ascii="宋体" w:eastAsia="宋体" w:hAnsi="Times New Roman" w:cs="宋体"/>
                <w:b/>
                <w:bCs/>
                <w:sz w:val="44"/>
                <w:szCs w:val="44"/>
              </w:rPr>
              <w:t>]--</w:t>
            </w:r>
            <w:r>
              <w:rPr>
                <w:rFonts w:ascii="宋体" w:eastAsia="宋体" w:hAnsi="Times New Roman" w:cs="宋体" w:hint="eastAsia"/>
                <w:b/>
                <w:bCs/>
                <w:sz w:val="44"/>
                <w:szCs w:val="44"/>
              </w:rPr>
              <w:t>培养方案基本信息</w:t>
            </w:r>
          </w:p>
        </w:tc>
      </w:tr>
      <w:tr w:rsidR="00DE6EC6">
        <w:tblPrEx>
          <w:tblCellMar>
            <w:top w:w="0" w:type="dxa"/>
            <w:bottom w:w="0" w:type="dxa"/>
          </w:tblCellMar>
        </w:tblPrEx>
        <w:trPr>
          <w:trHeight w:val="28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一、培养目标</w:t>
            </w:r>
          </w:p>
        </w:tc>
      </w:tr>
      <w:tr w:rsidR="00DE6EC6">
        <w:tblPrEx>
          <w:tblCellMar>
            <w:top w:w="0" w:type="dxa"/>
            <w:bottom w:w="0" w:type="dxa"/>
          </w:tblCellMar>
        </w:tblPrEx>
        <w:trPr>
          <w:trHeight w:val="1640"/>
          <w:jc w:val="center"/>
        </w:trPr>
        <w:tc>
          <w:tcPr>
            <w:tcW w:w="10890"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本领域培养适应社会主义建设需要，具有良好道德品质、身心发展健康，具有从事交通运输系统、交通运输系统规划与管理、交通机电工程设计与集成、交通工程设施设计、道路工程的勘测、设计、施工、养护、管理和研究方面的高级工程技术和工程管理人才。</w:t>
            </w:r>
            <w:r>
              <w:rPr>
                <w:rFonts w:ascii="宋体" w:eastAsia="宋体" w:hAnsi="Times New Roman" w:cs="宋体"/>
                <w:sz w:val="22"/>
                <w:szCs w:val="22"/>
              </w:rPr>
              <w:t xml:space="preserve"> </w:t>
            </w:r>
            <w:r>
              <w:rPr>
                <w:rFonts w:ascii="宋体" w:eastAsia="宋体" w:hAnsi="Times New Roman" w:cs="宋体" w:hint="eastAsia"/>
                <w:sz w:val="22"/>
                <w:szCs w:val="22"/>
              </w:rPr>
              <w:t>交通运输工程领域工程硕士要求掌握各种工程现代设计施工的理论和方法，各种现代交通系统的设计理论，工程设计中的新工艺、新材料、新技术、新方法，试验、分析、使用及维修技术，应用现代电子、信息及控制技术、通信工程，现代工程规划和管理、运行环境分析与保护、交通安全技术，计算机应用等。</w:t>
            </w:r>
          </w:p>
        </w:tc>
      </w:tr>
      <w:tr w:rsidR="00DE6EC6">
        <w:tblPrEx>
          <w:tblCellMar>
            <w:top w:w="0" w:type="dxa"/>
            <w:bottom w:w="0" w:type="dxa"/>
          </w:tblCellMar>
        </w:tblPrEx>
        <w:trPr>
          <w:trHeight w:val="3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二、学习年限</w:t>
            </w:r>
          </w:p>
        </w:tc>
      </w:tr>
      <w:tr w:rsidR="00DE6EC6">
        <w:tblPrEx>
          <w:tblCellMar>
            <w:top w:w="0" w:type="dxa"/>
            <w:bottom w:w="0" w:type="dxa"/>
          </w:tblCellMar>
        </w:tblPrEx>
        <w:trPr>
          <w:trHeight w:val="1640"/>
          <w:jc w:val="center"/>
        </w:trPr>
        <w:tc>
          <w:tcPr>
            <w:tcW w:w="10890"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学制为</w:t>
            </w:r>
            <w:r>
              <w:rPr>
                <w:rFonts w:ascii="宋体" w:eastAsia="宋体" w:hAnsi="Times New Roman" w:cs="宋体"/>
                <w:sz w:val="22"/>
                <w:szCs w:val="22"/>
              </w:rPr>
              <w:t>3</w:t>
            </w:r>
            <w:r>
              <w:rPr>
                <w:rFonts w:ascii="宋体" w:eastAsia="宋体" w:hAnsi="Times New Roman" w:cs="宋体" w:hint="eastAsia"/>
                <w:sz w:val="22"/>
                <w:szCs w:val="22"/>
              </w:rPr>
              <w:t>年。因特殊原因不能按期完成学业者，可适当延长学习期限，延长学习期限后，在校年限（含休学）不得超过</w:t>
            </w:r>
            <w:r>
              <w:rPr>
                <w:rFonts w:ascii="宋体" w:eastAsia="宋体" w:hAnsi="Times New Roman" w:cs="宋体"/>
                <w:sz w:val="22"/>
                <w:szCs w:val="22"/>
              </w:rPr>
              <w:t>5</w:t>
            </w:r>
            <w:r>
              <w:rPr>
                <w:rFonts w:ascii="宋体" w:eastAsia="宋体" w:hAnsi="Times New Roman" w:cs="宋体" w:hint="eastAsia"/>
                <w:sz w:val="22"/>
                <w:szCs w:val="22"/>
              </w:rPr>
              <w:t>年。</w:t>
            </w:r>
          </w:p>
        </w:tc>
      </w:tr>
      <w:tr w:rsidR="00DE6EC6">
        <w:tblPrEx>
          <w:tblCellMar>
            <w:top w:w="0" w:type="dxa"/>
            <w:bottom w:w="0" w:type="dxa"/>
          </w:tblCellMar>
        </w:tblPrEx>
        <w:trPr>
          <w:trHeight w:val="3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三、研究方向</w:t>
            </w:r>
          </w:p>
        </w:tc>
      </w:tr>
      <w:tr w:rsidR="00DE6EC6">
        <w:tblPrEx>
          <w:tblCellMar>
            <w:top w:w="0" w:type="dxa"/>
            <w:bottom w:w="0" w:type="dxa"/>
          </w:tblCellMar>
        </w:tblPrEx>
        <w:trPr>
          <w:trHeight w:val="1640"/>
          <w:jc w:val="center"/>
        </w:trPr>
        <w:tc>
          <w:tcPr>
            <w:tcW w:w="10890"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w:t>
            </w:r>
            <w:r>
              <w:rPr>
                <w:rFonts w:ascii="宋体" w:eastAsia="宋体" w:hAnsi="Times New Roman" w:cs="宋体"/>
                <w:sz w:val="22"/>
                <w:szCs w:val="22"/>
              </w:rPr>
              <w:t>1.</w:t>
            </w:r>
            <w:r>
              <w:rPr>
                <w:rFonts w:ascii="宋体" w:eastAsia="宋体" w:hAnsi="Times New Roman" w:cs="宋体" w:hint="eastAsia"/>
                <w:sz w:val="22"/>
                <w:szCs w:val="22"/>
              </w:rPr>
              <w:t>智能交通系统</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2.</w:t>
            </w:r>
            <w:r>
              <w:rPr>
                <w:rFonts w:ascii="宋体" w:eastAsia="宋体" w:hAnsi="Times New Roman" w:cs="宋体" w:hint="eastAsia"/>
                <w:sz w:val="22"/>
                <w:szCs w:val="22"/>
              </w:rPr>
              <w:t>交通运输系统规划与管理</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3.</w:t>
            </w:r>
            <w:r>
              <w:rPr>
                <w:rFonts w:ascii="宋体" w:eastAsia="宋体" w:hAnsi="Times New Roman" w:cs="宋体" w:hint="eastAsia"/>
                <w:sz w:val="22"/>
                <w:szCs w:val="22"/>
              </w:rPr>
              <w:t>路基路面工程</w:t>
            </w:r>
          </w:p>
        </w:tc>
      </w:tr>
      <w:tr w:rsidR="00DE6EC6">
        <w:tblPrEx>
          <w:tblCellMar>
            <w:top w:w="0" w:type="dxa"/>
            <w:bottom w:w="0" w:type="dxa"/>
          </w:tblCellMar>
        </w:tblPrEx>
        <w:trPr>
          <w:trHeight w:val="3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四、培养方式</w:t>
            </w:r>
          </w:p>
        </w:tc>
      </w:tr>
      <w:tr w:rsidR="00DE6EC6">
        <w:tblPrEx>
          <w:tblCellMar>
            <w:top w:w="0" w:type="dxa"/>
            <w:bottom w:w="0" w:type="dxa"/>
          </w:tblCellMar>
        </w:tblPrEx>
        <w:trPr>
          <w:trHeight w:val="1640"/>
          <w:jc w:val="center"/>
        </w:trPr>
        <w:tc>
          <w:tcPr>
            <w:tcW w:w="10890"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非全日制工程硕士研究生采用进校不离岗的学习方式。课程学习实行学分制，通过学校规定的课程考试，考试成绩合格即可取得该门课程的学分。课程学习一般应在两年内完成，授课形式以面授为主，时间一般安排在周六、周日。学位论文研究工作一般应与专业实践相结合，时间不少于</w:t>
            </w:r>
            <w:r>
              <w:rPr>
                <w:rFonts w:ascii="宋体" w:eastAsia="宋体" w:hAnsi="Times New Roman" w:cs="宋体"/>
                <w:sz w:val="22"/>
                <w:szCs w:val="22"/>
              </w:rPr>
              <w:t>1</w:t>
            </w:r>
            <w:r>
              <w:rPr>
                <w:rFonts w:ascii="宋体" w:eastAsia="宋体" w:hAnsi="Times New Roman" w:cs="宋体" w:hint="eastAsia"/>
                <w:sz w:val="22"/>
                <w:szCs w:val="22"/>
              </w:rPr>
              <w:t>年。</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专业学位研究生培养实行校内外双导师制。以校内导师指导为主，校外导师参与实践过程、项目研究、课程学习与论文撰写等多个环节的指导工作。</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工程硕士研究生应在导师指导下于入学后两周内制定出培养计划。</w:t>
            </w:r>
          </w:p>
        </w:tc>
      </w:tr>
      <w:tr w:rsidR="00DE6EC6">
        <w:tblPrEx>
          <w:tblCellMar>
            <w:top w:w="0" w:type="dxa"/>
            <w:bottom w:w="0" w:type="dxa"/>
          </w:tblCellMar>
        </w:tblPrEx>
        <w:trPr>
          <w:trHeight w:val="3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五、学分与课程学习基本要求</w:t>
            </w:r>
          </w:p>
        </w:tc>
      </w:tr>
      <w:tr w:rsidR="00DE6EC6">
        <w:tblPrEx>
          <w:tblCellMar>
            <w:top w:w="0" w:type="dxa"/>
            <w:bottom w:w="0" w:type="dxa"/>
          </w:tblCellMar>
        </w:tblPrEx>
        <w:trPr>
          <w:trHeight w:val="1640"/>
          <w:jc w:val="center"/>
        </w:trPr>
        <w:tc>
          <w:tcPr>
            <w:tcW w:w="10890"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总学分不少于</w:t>
            </w:r>
            <w:r>
              <w:rPr>
                <w:rFonts w:ascii="宋体" w:eastAsia="宋体" w:hAnsi="Times New Roman" w:cs="宋体"/>
                <w:sz w:val="22"/>
                <w:szCs w:val="22"/>
              </w:rPr>
              <w:t>32</w:t>
            </w:r>
            <w:r>
              <w:rPr>
                <w:rFonts w:ascii="宋体" w:eastAsia="宋体" w:hAnsi="Times New Roman" w:cs="宋体" w:hint="eastAsia"/>
                <w:sz w:val="22"/>
                <w:szCs w:val="22"/>
              </w:rPr>
              <w:t>学分。其中，公共必修课</w:t>
            </w:r>
            <w:r>
              <w:rPr>
                <w:rFonts w:ascii="宋体" w:eastAsia="宋体" w:hAnsi="Times New Roman" w:cs="宋体"/>
                <w:sz w:val="22"/>
                <w:szCs w:val="22"/>
              </w:rPr>
              <w:t>10</w:t>
            </w:r>
            <w:r>
              <w:rPr>
                <w:rFonts w:ascii="宋体" w:eastAsia="宋体" w:hAnsi="Times New Roman" w:cs="宋体" w:hint="eastAsia"/>
                <w:sz w:val="22"/>
                <w:szCs w:val="22"/>
              </w:rPr>
              <w:t>学分，专业基础课（含数学课）不少于</w:t>
            </w:r>
            <w:r>
              <w:rPr>
                <w:rFonts w:ascii="宋体" w:eastAsia="宋体" w:hAnsi="Times New Roman" w:cs="宋体"/>
                <w:sz w:val="22"/>
                <w:szCs w:val="22"/>
              </w:rPr>
              <w:t>12</w:t>
            </w:r>
            <w:r>
              <w:rPr>
                <w:rFonts w:ascii="宋体" w:eastAsia="宋体" w:hAnsi="Times New Roman" w:cs="宋体" w:hint="eastAsia"/>
                <w:sz w:val="22"/>
                <w:szCs w:val="22"/>
              </w:rPr>
              <w:t>学分，专业实践</w:t>
            </w:r>
            <w:r>
              <w:rPr>
                <w:rFonts w:ascii="宋体" w:eastAsia="宋体" w:hAnsi="Times New Roman" w:cs="宋体"/>
                <w:sz w:val="22"/>
                <w:szCs w:val="22"/>
              </w:rPr>
              <w:t>6</w:t>
            </w:r>
            <w:r>
              <w:rPr>
                <w:rFonts w:ascii="宋体" w:eastAsia="宋体" w:hAnsi="Times New Roman" w:cs="宋体" w:hint="eastAsia"/>
                <w:sz w:val="22"/>
                <w:szCs w:val="22"/>
              </w:rPr>
              <w:t>学分，专业选修课不少于</w:t>
            </w:r>
            <w:r>
              <w:rPr>
                <w:rFonts w:ascii="宋体" w:eastAsia="宋体" w:hAnsi="Times New Roman" w:cs="宋体"/>
                <w:sz w:val="22"/>
                <w:szCs w:val="22"/>
              </w:rPr>
              <w:t>3</w:t>
            </w:r>
            <w:r>
              <w:rPr>
                <w:rFonts w:ascii="宋体" w:eastAsia="宋体" w:hAnsi="Times New Roman" w:cs="宋体" w:hint="eastAsia"/>
                <w:sz w:val="22"/>
                <w:szCs w:val="22"/>
              </w:rPr>
              <w:t>学分，公共选修课不少于</w:t>
            </w:r>
            <w:r>
              <w:rPr>
                <w:rFonts w:ascii="宋体" w:eastAsia="宋体" w:hAnsi="Times New Roman" w:cs="宋体"/>
                <w:sz w:val="22"/>
                <w:szCs w:val="22"/>
              </w:rPr>
              <w:t>1</w:t>
            </w:r>
            <w:r>
              <w:rPr>
                <w:rFonts w:ascii="宋体" w:eastAsia="宋体" w:hAnsi="Times New Roman" w:cs="宋体" w:hint="eastAsia"/>
                <w:sz w:val="22"/>
                <w:szCs w:val="22"/>
              </w:rPr>
              <w:t>学分。</w:t>
            </w:r>
          </w:p>
        </w:tc>
      </w:tr>
      <w:tr w:rsidR="00DE6EC6">
        <w:tblPrEx>
          <w:tblCellMar>
            <w:top w:w="0" w:type="dxa"/>
            <w:bottom w:w="0" w:type="dxa"/>
          </w:tblCellMar>
        </w:tblPrEx>
        <w:trPr>
          <w:trHeight w:val="360"/>
          <w:jc w:val="center"/>
        </w:trPr>
        <w:tc>
          <w:tcPr>
            <w:tcW w:w="12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5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1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7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39"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tblPrEx>
          <w:tblCellMar>
            <w:top w:w="0" w:type="dxa"/>
            <w:bottom w:w="0" w:type="dxa"/>
          </w:tblCellMar>
        </w:tblPrEx>
        <w:trPr>
          <w:trHeight w:val="360"/>
          <w:jc w:val="center"/>
        </w:trPr>
        <w:tc>
          <w:tcPr>
            <w:tcW w:w="10890"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六、必修环节（专业实践）</w:t>
            </w:r>
          </w:p>
        </w:tc>
      </w:tr>
    </w:tbl>
    <w:p w:rsidR="00DE6EC6" w:rsidRDefault="00DE6EC6">
      <w:pPr>
        <w:rPr>
          <w:rFonts w:ascii="宋体" w:eastAsia="宋体" w:hAnsi="Times New Roman" w:cs="宋体"/>
          <w:sz w:val="22"/>
          <w:szCs w:val="22"/>
        </w:rPr>
      </w:pPr>
      <w:r>
        <w:rPr>
          <w:rFonts w:ascii="宋体" w:eastAsia="宋体" w:hAnsi="Times New Roman" w:cs="宋体"/>
          <w:sz w:val="22"/>
          <w:szCs w:val="22"/>
        </w:rPr>
        <w:br w:type="page"/>
      </w:r>
    </w:p>
    <w:tbl>
      <w:tblPr>
        <w:tblW w:w="10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2"/>
        <w:gridCol w:w="1481"/>
        <w:gridCol w:w="460"/>
        <w:gridCol w:w="1461"/>
        <w:gridCol w:w="500"/>
        <w:gridCol w:w="720"/>
        <w:gridCol w:w="980"/>
        <w:gridCol w:w="1281"/>
        <w:gridCol w:w="980"/>
        <w:gridCol w:w="940"/>
        <w:gridCol w:w="861"/>
      </w:tblGrid>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具有</w:t>
            </w:r>
            <w:r>
              <w:rPr>
                <w:rFonts w:ascii="宋体" w:eastAsia="宋体" w:hAnsi="Times New Roman" w:cs="宋体"/>
                <w:sz w:val="22"/>
                <w:szCs w:val="22"/>
              </w:rPr>
              <w:t>2</w:t>
            </w:r>
            <w:r>
              <w:rPr>
                <w:rFonts w:ascii="宋体" w:eastAsia="宋体" w:hAnsi="Times New Roman" w:cs="宋体" w:hint="eastAsia"/>
                <w:sz w:val="22"/>
                <w:szCs w:val="22"/>
              </w:rPr>
              <w:t>年及以上企业工作经历的工程类硕士专业学位研究生专业实践时间应不少于</w:t>
            </w:r>
            <w:r>
              <w:rPr>
                <w:rFonts w:ascii="宋体" w:eastAsia="宋体" w:hAnsi="Times New Roman" w:cs="宋体"/>
                <w:sz w:val="22"/>
                <w:szCs w:val="22"/>
              </w:rPr>
              <w:t>6</w:t>
            </w:r>
            <w:r>
              <w:rPr>
                <w:rFonts w:ascii="宋体" w:eastAsia="宋体" w:hAnsi="Times New Roman" w:cs="宋体" w:hint="eastAsia"/>
                <w:sz w:val="22"/>
                <w:szCs w:val="22"/>
              </w:rPr>
              <w:t>个月，不具有</w:t>
            </w:r>
            <w:r>
              <w:rPr>
                <w:rFonts w:ascii="宋体" w:eastAsia="宋体" w:hAnsi="Times New Roman" w:cs="宋体"/>
                <w:sz w:val="22"/>
                <w:szCs w:val="22"/>
              </w:rPr>
              <w:t>2</w:t>
            </w:r>
            <w:r>
              <w:rPr>
                <w:rFonts w:ascii="宋体" w:eastAsia="宋体" w:hAnsi="Times New Roman" w:cs="宋体" w:hint="eastAsia"/>
                <w:sz w:val="22"/>
                <w:szCs w:val="22"/>
              </w:rPr>
              <w:t>年企业工作经历的专业实践时间应不少于</w:t>
            </w:r>
            <w:r>
              <w:rPr>
                <w:rFonts w:ascii="宋体" w:eastAsia="宋体" w:hAnsi="Times New Roman" w:cs="宋体"/>
                <w:sz w:val="22"/>
                <w:szCs w:val="22"/>
              </w:rPr>
              <w:t>1</w:t>
            </w:r>
            <w:r>
              <w:rPr>
                <w:rFonts w:ascii="宋体" w:eastAsia="宋体" w:hAnsi="Times New Roman" w:cs="宋体" w:hint="eastAsia"/>
                <w:sz w:val="22"/>
                <w:szCs w:val="22"/>
              </w:rPr>
              <w:t>年。专业实践可结合自身工作岗位任务开展。</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七、学术成果要求</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在申请毕业答辩前，满足学院相关的毕业成果要求，即可申请答辩。</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八、开题报告</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第四学期初（</w:t>
            </w:r>
            <w:r>
              <w:rPr>
                <w:rFonts w:ascii="宋体" w:eastAsia="宋体" w:hAnsi="Times New Roman" w:cs="宋体"/>
                <w:sz w:val="22"/>
                <w:szCs w:val="22"/>
              </w:rPr>
              <w:t>2</w:t>
            </w:r>
            <w:r>
              <w:rPr>
                <w:rFonts w:ascii="宋体" w:eastAsia="宋体" w:hAnsi="Times New Roman" w:cs="宋体" w:hint="eastAsia"/>
                <w:sz w:val="22"/>
                <w:szCs w:val="22"/>
              </w:rPr>
              <w:t>～</w:t>
            </w:r>
            <w:r>
              <w:rPr>
                <w:rFonts w:ascii="宋体" w:eastAsia="宋体" w:hAnsi="Times New Roman" w:cs="宋体"/>
                <w:sz w:val="22"/>
                <w:szCs w:val="22"/>
              </w:rPr>
              <w:t>6</w:t>
            </w:r>
            <w:r>
              <w:rPr>
                <w:rFonts w:ascii="宋体" w:eastAsia="宋体" w:hAnsi="Times New Roman" w:cs="宋体" w:hint="eastAsia"/>
                <w:sz w:val="22"/>
                <w:szCs w:val="22"/>
              </w:rPr>
              <w:t>周），进行学位论文开题报告。</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九、中期考核</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第四学期（</w:t>
            </w:r>
            <w:r>
              <w:rPr>
                <w:rFonts w:ascii="宋体" w:eastAsia="宋体" w:hAnsi="Times New Roman" w:cs="宋体"/>
                <w:sz w:val="22"/>
                <w:szCs w:val="22"/>
              </w:rPr>
              <w:t>14</w:t>
            </w:r>
            <w:r>
              <w:rPr>
                <w:rFonts w:ascii="宋体" w:eastAsia="宋体" w:hAnsi="Times New Roman" w:cs="宋体" w:hint="eastAsia"/>
                <w:sz w:val="22"/>
                <w:szCs w:val="22"/>
              </w:rPr>
              <w:t>～</w:t>
            </w:r>
            <w:r>
              <w:rPr>
                <w:rFonts w:ascii="宋体" w:eastAsia="宋体" w:hAnsi="Times New Roman" w:cs="宋体"/>
                <w:sz w:val="22"/>
                <w:szCs w:val="22"/>
              </w:rPr>
              <w:t>18</w:t>
            </w:r>
            <w:r>
              <w:rPr>
                <w:rFonts w:ascii="宋体" w:eastAsia="宋体" w:hAnsi="Times New Roman" w:cs="宋体" w:hint="eastAsia"/>
                <w:sz w:val="22"/>
                <w:szCs w:val="22"/>
              </w:rPr>
              <w:t>周），进行中期考核。</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硕士研究生中期考核需在第四学期结束前完成，具体时间由学院安排。对不适合继续攻读硕士学位的研究生及早分流，加大分流力度。具体要求和程序按照学校研究生中期考核办法执行。</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十、预答辩</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第六学期初（</w:t>
            </w:r>
            <w:r>
              <w:rPr>
                <w:rFonts w:ascii="宋体" w:eastAsia="宋体" w:hAnsi="Times New Roman" w:cs="宋体"/>
                <w:sz w:val="22"/>
                <w:szCs w:val="22"/>
              </w:rPr>
              <w:t>1</w:t>
            </w:r>
            <w:r>
              <w:rPr>
                <w:rFonts w:ascii="宋体" w:eastAsia="宋体" w:hAnsi="Times New Roman" w:cs="宋体" w:hint="eastAsia"/>
                <w:sz w:val="22"/>
                <w:szCs w:val="22"/>
              </w:rPr>
              <w:t>～</w:t>
            </w:r>
            <w:r>
              <w:rPr>
                <w:rFonts w:ascii="宋体" w:eastAsia="宋体" w:hAnsi="Times New Roman" w:cs="宋体"/>
                <w:sz w:val="22"/>
                <w:szCs w:val="22"/>
              </w:rPr>
              <w:t>4</w:t>
            </w:r>
            <w:r>
              <w:rPr>
                <w:rFonts w:ascii="宋体" w:eastAsia="宋体" w:hAnsi="Times New Roman" w:cs="宋体" w:hint="eastAsia"/>
                <w:sz w:val="22"/>
                <w:szCs w:val="22"/>
              </w:rPr>
              <w:t>周），符合答辩条件的非全日制硕士专业学位举行预答辩，进入答辩和学位申请环节。</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十一、学位论文</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（一）论文选题应来源于工程实际或者具有明确的工程应用背景</w:t>
            </w:r>
            <w:r>
              <w:rPr>
                <w:rFonts w:ascii="宋体" w:eastAsia="宋体" w:hAnsi="Times New Roman" w:cs="宋体"/>
                <w:sz w:val="22"/>
                <w:szCs w:val="22"/>
              </w:rPr>
              <w:t>,</w:t>
            </w:r>
            <w:r>
              <w:rPr>
                <w:rFonts w:ascii="宋体" w:eastAsia="宋体" w:hAnsi="Times New Roman" w:cs="宋体" w:hint="eastAsia"/>
                <w:sz w:val="22"/>
                <w:szCs w:val="22"/>
              </w:rPr>
              <w:t>可以是一个完整的工程技术项目的设计或研究课题，可以是技术攻关、技术改造专题，可以是新工艺、新设备、新材料、新产品的研制与开发等。论文工作须在导师指导下</w:t>
            </w:r>
            <w:r>
              <w:rPr>
                <w:rFonts w:ascii="宋体" w:eastAsia="宋体" w:hAnsi="Times New Roman" w:cs="宋体"/>
                <w:sz w:val="22"/>
                <w:szCs w:val="22"/>
              </w:rPr>
              <w:t>,</w:t>
            </w:r>
            <w:r>
              <w:rPr>
                <w:rFonts w:ascii="宋体" w:eastAsia="宋体" w:hAnsi="Times New Roman" w:cs="宋体" w:hint="eastAsia"/>
                <w:sz w:val="22"/>
                <w:szCs w:val="22"/>
              </w:rPr>
              <w:t>由工程硕士专业学位研究生本人独立完成，具备相应的技术要求和较充足的工作量，体现作者综合运用科学理论、方法和技术手段解决工程技术问题的能力，具有先进性、实用性，取得了较好的成效。论文可以采用产品研发、工程规划、工程设计、应用研究、工程／项目管理、调研报告等多种形式。</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二）学位论文的评审应着重审核学生综合运用科学理论、方法和技术手段解决实际问题的能力；审核其解决实际问题的思路、方法和进展；审核其工艺、技术和设计的先进性和可行性；审核学位论文工作的技术难度和工作量。</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（三）学位论文撰写规范、学位论文评阅和答辩按学校有关规定执行。</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lastRenderedPageBreak/>
              <w:t>十二、备注</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36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b/>
                <w:bCs/>
                <w:sz w:val="22"/>
                <w:szCs w:val="22"/>
              </w:rPr>
              <w:t>十三、学科专业简介</w:t>
            </w:r>
          </w:p>
        </w:tc>
      </w:tr>
      <w:tr w:rsidR="00DE6EC6" w:rsidTr="00DE6EC6">
        <w:tblPrEx>
          <w:tblCellMar>
            <w:top w:w="0" w:type="dxa"/>
            <w:bottom w:w="0" w:type="dxa"/>
          </w:tblCellMar>
        </w:tblPrEx>
        <w:trPr>
          <w:trHeight w:val="1640"/>
          <w:jc w:val="center"/>
        </w:trPr>
        <w:tc>
          <w:tcPr>
            <w:tcW w:w="10906" w:type="dxa"/>
            <w:gridSpan w:val="11"/>
            <w:tcBorders>
              <w:top w:val="nil"/>
              <w:left w:val="nil"/>
              <w:bottom w:val="nil"/>
              <w:right w:val="nil"/>
            </w:tcBorders>
            <w:shd w:val="clear" w:color="auto" w:fill="FFFFFF"/>
            <w:vAlign w:val="center"/>
          </w:tcPr>
          <w:p w:rsidR="00DE6EC6" w:rsidRDefault="00DE6EC6">
            <w:pPr>
              <w:ind w:left="100"/>
              <w:rPr>
                <w:rFonts w:ascii="宋体" w:eastAsia="宋体" w:hAnsi="Times New Roman" w:cs="宋体"/>
                <w:sz w:val="22"/>
                <w:szCs w:val="22"/>
              </w:rPr>
            </w:pPr>
            <w:r>
              <w:rPr>
                <w:rFonts w:ascii="宋体" w:eastAsia="宋体" w:hAnsi="Times New Roman" w:cs="宋体" w:hint="eastAsia"/>
                <w:sz w:val="22"/>
                <w:szCs w:val="22"/>
              </w:rPr>
              <w:t xml:space="preserve">　　华南理工大学交通运输工程学科成立于</w:t>
            </w:r>
            <w:r>
              <w:rPr>
                <w:rFonts w:ascii="宋体" w:eastAsia="宋体" w:hAnsi="Times New Roman" w:cs="宋体"/>
                <w:sz w:val="22"/>
                <w:szCs w:val="22"/>
              </w:rPr>
              <w:t>1994</w:t>
            </w:r>
            <w:r>
              <w:rPr>
                <w:rFonts w:ascii="宋体" w:eastAsia="宋体" w:hAnsi="Times New Roman" w:cs="宋体" w:hint="eastAsia"/>
                <w:sz w:val="22"/>
                <w:szCs w:val="22"/>
              </w:rPr>
              <w:t>年，先后创建了交通工程、交通运输</w:t>
            </w:r>
            <w:r>
              <w:rPr>
                <w:rFonts w:ascii="宋体" w:eastAsia="宋体" w:hAnsi="Times New Roman" w:cs="宋体"/>
                <w:sz w:val="22"/>
                <w:szCs w:val="22"/>
              </w:rPr>
              <w:t>2</w:t>
            </w:r>
            <w:r>
              <w:rPr>
                <w:rFonts w:ascii="宋体" w:eastAsia="宋体" w:hAnsi="Times New Roman" w:cs="宋体" w:hint="eastAsia"/>
                <w:sz w:val="22"/>
                <w:szCs w:val="22"/>
              </w:rPr>
              <w:t>个本科专业，于</w:t>
            </w:r>
            <w:r>
              <w:rPr>
                <w:rFonts w:ascii="宋体" w:eastAsia="宋体" w:hAnsi="Times New Roman" w:cs="宋体"/>
                <w:sz w:val="22"/>
                <w:szCs w:val="22"/>
              </w:rPr>
              <w:t>2000</w:t>
            </w:r>
            <w:r>
              <w:rPr>
                <w:rFonts w:ascii="宋体" w:eastAsia="宋体" w:hAnsi="Times New Roman" w:cs="宋体" w:hint="eastAsia"/>
                <w:sz w:val="22"/>
                <w:szCs w:val="22"/>
              </w:rPr>
              <w:t>年获得交通信息工程及控制二级学科硕士学位授予权，</w:t>
            </w:r>
            <w:r>
              <w:rPr>
                <w:rFonts w:ascii="宋体" w:eastAsia="宋体" w:hAnsi="Times New Roman" w:cs="宋体"/>
                <w:sz w:val="22"/>
                <w:szCs w:val="22"/>
              </w:rPr>
              <w:t>2006</w:t>
            </w:r>
            <w:r>
              <w:rPr>
                <w:rFonts w:ascii="宋体" w:eastAsia="宋体" w:hAnsi="Times New Roman" w:cs="宋体" w:hint="eastAsia"/>
                <w:sz w:val="22"/>
                <w:szCs w:val="22"/>
              </w:rPr>
              <w:t>年获得交通信息工程及控制二级学科博士学位授予权，</w:t>
            </w:r>
            <w:r>
              <w:rPr>
                <w:rFonts w:ascii="宋体" w:eastAsia="宋体" w:hAnsi="Times New Roman" w:cs="宋体"/>
                <w:sz w:val="22"/>
                <w:szCs w:val="22"/>
              </w:rPr>
              <w:t>2006</w:t>
            </w:r>
            <w:r>
              <w:rPr>
                <w:rFonts w:ascii="宋体" w:eastAsia="宋体" w:hAnsi="Times New Roman" w:cs="宋体" w:hint="eastAsia"/>
                <w:sz w:val="22"/>
                <w:szCs w:val="22"/>
              </w:rPr>
              <w:t>年获得交通运输工程一级学科硕士学位授予权，</w:t>
            </w:r>
            <w:r>
              <w:rPr>
                <w:rFonts w:ascii="宋体" w:eastAsia="宋体" w:hAnsi="Times New Roman" w:cs="宋体"/>
                <w:sz w:val="22"/>
                <w:szCs w:val="22"/>
              </w:rPr>
              <w:t>2010</w:t>
            </w:r>
            <w:r>
              <w:rPr>
                <w:rFonts w:ascii="宋体" w:eastAsia="宋体" w:hAnsi="Times New Roman" w:cs="宋体" w:hint="eastAsia"/>
                <w:sz w:val="22"/>
                <w:szCs w:val="22"/>
              </w:rPr>
              <w:t>年获得交通运输工程一级学科博士学位授予权，</w:t>
            </w:r>
            <w:r>
              <w:rPr>
                <w:rFonts w:ascii="宋体" w:eastAsia="宋体" w:hAnsi="Times New Roman" w:cs="宋体"/>
                <w:sz w:val="22"/>
                <w:szCs w:val="22"/>
              </w:rPr>
              <w:t>2012</w:t>
            </w:r>
            <w:r>
              <w:rPr>
                <w:rFonts w:ascii="宋体" w:eastAsia="宋体" w:hAnsi="Times New Roman" w:cs="宋体" w:hint="eastAsia"/>
                <w:sz w:val="22"/>
                <w:szCs w:val="22"/>
              </w:rPr>
              <w:t>年建立交通运输工程一级学科博士后流动站，</w:t>
            </w:r>
            <w:r>
              <w:rPr>
                <w:rFonts w:ascii="宋体" w:eastAsia="宋体" w:hAnsi="Times New Roman" w:cs="宋体"/>
                <w:sz w:val="22"/>
                <w:szCs w:val="22"/>
              </w:rPr>
              <w:t>2012</w:t>
            </w:r>
            <w:r>
              <w:rPr>
                <w:rFonts w:ascii="宋体" w:eastAsia="宋体" w:hAnsi="Times New Roman" w:cs="宋体" w:hint="eastAsia"/>
                <w:sz w:val="22"/>
                <w:szCs w:val="22"/>
              </w:rPr>
              <w:t>年获批成为广东省优势重点学科，形成了本科、硕士、博士的完整教学体系。</w:t>
            </w:r>
          </w:p>
          <w:p w:rsidR="00DE6EC6" w:rsidRDefault="00DE6EC6">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本学科下设道路与铁道工程、交通信息工程及控制、交通运输规划与管理</w:t>
            </w:r>
            <w:r>
              <w:rPr>
                <w:rFonts w:ascii="宋体" w:eastAsia="宋体" w:hAnsi="Times New Roman" w:cs="宋体"/>
                <w:sz w:val="22"/>
                <w:szCs w:val="22"/>
              </w:rPr>
              <w:t>3</w:t>
            </w:r>
            <w:r>
              <w:rPr>
                <w:rFonts w:ascii="宋体" w:eastAsia="宋体" w:hAnsi="Times New Roman" w:cs="宋体" w:hint="eastAsia"/>
                <w:sz w:val="22"/>
                <w:szCs w:val="22"/>
              </w:rPr>
              <w:t>个主干学科方向，形成了道路建筑材料、路基路面工程、智能交通控制与管理、交通大数据与路网运营、公共交通规划与运营组织、道路交通系统优化与安全管控等</w:t>
            </w:r>
            <w:r>
              <w:rPr>
                <w:rFonts w:ascii="宋体" w:eastAsia="宋体" w:hAnsi="Times New Roman" w:cs="宋体"/>
                <w:sz w:val="22"/>
                <w:szCs w:val="22"/>
              </w:rPr>
              <w:t>6</w:t>
            </w:r>
            <w:r>
              <w:rPr>
                <w:rFonts w:ascii="宋体" w:eastAsia="宋体" w:hAnsi="Times New Roman" w:cs="宋体" w:hint="eastAsia"/>
                <w:sz w:val="22"/>
                <w:szCs w:val="22"/>
              </w:rPr>
              <w:t>个特色研究方向，为我国道路交通运输领域培养了大批技术骨干与行业精英，在华南地区具有较高的知名度。</w:t>
            </w:r>
          </w:p>
        </w:tc>
      </w:tr>
      <w:tr w:rsidR="00DE6EC6" w:rsidTr="00DE6EC6">
        <w:tblPrEx>
          <w:tblCellMar>
            <w:top w:w="0" w:type="dxa"/>
            <w:bottom w:w="0" w:type="dxa"/>
          </w:tblCellMar>
        </w:tblPrEx>
        <w:trPr>
          <w:trHeight w:val="360"/>
          <w:jc w:val="center"/>
        </w:trPr>
        <w:tc>
          <w:tcPr>
            <w:tcW w:w="1242"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50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8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940"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c>
          <w:tcPr>
            <w:tcW w:w="861" w:type="dxa"/>
            <w:tcBorders>
              <w:top w:val="nil"/>
              <w:left w:val="nil"/>
              <w:bottom w:val="nil"/>
              <w:right w:val="nil"/>
            </w:tcBorders>
            <w:shd w:val="clear" w:color="auto" w:fill="FFFFFF"/>
            <w:vAlign w:val="center"/>
          </w:tcPr>
          <w:p w:rsidR="00DE6EC6" w:rsidRDefault="00DE6EC6">
            <w:pPr>
              <w:rPr>
                <w:rFonts w:ascii="宋体" w:eastAsia="宋体" w:hAnsi="Times New Roman" w:cs="宋体"/>
              </w:rPr>
            </w:pPr>
          </w:p>
        </w:tc>
      </w:tr>
      <w:tr w:rsidR="00DE6EC6" w:rsidTr="00DE6EC6">
        <w:tblPrEx>
          <w:tblCellMar>
            <w:top w:w="0" w:type="dxa"/>
            <w:bottom w:w="0" w:type="dxa"/>
          </w:tblCellMar>
        </w:tblPrEx>
        <w:trPr>
          <w:trHeight w:val="200"/>
          <w:jc w:val="center"/>
        </w:trPr>
        <w:tc>
          <w:tcPr>
            <w:tcW w:w="10906" w:type="dxa"/>
            <w:gridSpan w:val="11"/>
            <w:tcBorders>
              <w:top w:val="nil"/>
              <w:left w:val="nil"/>
              <w:bottom w:val="nil"/>
              <w:right w:val="nil"/>
            </w:tcBorders>
            <w:shd w:val="clear" w:color="auto" w:fill="FFFFFF"/>
            <w:vAlign w:val="center"/>
          </w:tcPr>
          <w:p w:rsidR="00DE6EC6" w:rsidRDefault="00DE6EC6">
            <w:pPr>
              <w:rPr>
                <w:rFonts w:ascii="宋体" w:eastAsia="宋体" w:hAnsi="Times New Roman" w:cs="宋体"/>
                <w:sz w:val="16"/>
                <w:szCs w:val="16"/>
              </w:rPr>
            </w:pPr>
          </w:p>
        </w:tc>
      </w:tr>
    </w:tbl>
    <w:p w:rsidR="00DE6EC6" w:rsidRDefault="00DE6EC6">
      <w:pPr>
        <w:rPr>
          <w:rFonts w:ascii="宋体" w:eastAsia="宋体" w:hAnsi="Times New Roman" w:cs="宋体"/>
          <w:sz w:val="16"/>
          <w:szCs w:val="16"/>
        </w:rPr>
      </w:pPr>
      <w:r>
        <w:rPr>
          <w:rFonts w:ascii="宋体" w:eastAsia="宋体" w:hAnsi="Times New Roman" w:cs="宋体"/>
          <w:sz w:val="16"/>
          <w:szCs w:val="16"/>
        </w:rPr>
        <w:br w:type="page"/>
      </w:r>
    </w:p>
    <w:tbl>
      <w:tblPr>
        <w:tblW w:w="10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2"/>
        <w:gridCol w:w="1481"/>
        <w:gridCol w:w="1921"/>
        <w:gridCol w:w="500"/>
        <w:gridCol w:w="720"/>
        <w:gridCol w:w="980"/>
        <w:gridCol w:w="1281"/>
        <w:gridCol w:w="980"/>
        <w:gridCol w:w="940"/>
        <w:gridCol w:w="861"/>
      </w:tblGrid>
      <w:tr w:rsidR="00DE6EC6">
        <w:tblPrEx>
          <w:tblCellMar>
            <w:top w:w="0" w:type="dxa"/>
            <w:bottom w:w="0" w:type="dxa"/>
          </w:tblCellMar>
        </w:tblPrEx>
        <w:trPr>
          <w:trHeight w:val="820"/>
          <w:jc w:val="center"/>
        </w:trPr>
        <w:tc>
          <w:tcPr>
            <w:tcW w:w="10890" w:type="dxa"/>
            <w:gridSpan w:val="10"/>
            <w:tcBorders>
              <w:top w:val="nil"/>
              <w:left w:val="nil"/>
              <w:bottom w:val="single" w:sz="6" w:space="0" w:color="000000"/>
              <w:right w:val="nil"/>
            </w:tcBorders>
            <w:shd w:val="clear" w:color="auto" w:fill="FFFFFF"/>
            <w:vAlign w:val="center"/>
          </w:tcPr>
          <w:p w:rsidR="00DE6EC6" w:rsidRDefault="00DE6EC6">
            <w:pPr>
              <w:jc w:val="center"/>
              <w:rPr>
                <w:rFonts w:ascii="宋体" w:eastAsia="宋体" w:hAnsi="Times New Roman" w:cs="宋体"/>
                <w:sz w:val="44"/>
                <w:szCs w:val="44"/>
              </w:rPr>
            </w:pPr>
            <w:r>
              <w:rPr>
                <w:rFonts w:ascii="宋体" w:eastAsia="宋体" w:hAnsi="Times New Roman" w:cs="宋体" w:hint="eastAsia"/>
                <w:b/>
                <w:bCs/>
                <w:sz w:val="44"/>
                <w:szCs w:val="44"/>
              </w:rPr>
              <w:t>培养方案课程信息</w:t>
            </w:r>
          </w:p>
        </w:tc>
      </w:tr>
      <w:tr w:rsidR="00DE6EC6">
        <w:tblPrEx>
          <w:tblCellMar>
            <w:top w:w="0" w:type="dxa"/>
            <w:bottom w:w="0" w:type="dxa"/>
          </w:tblCellMar>
        </w:tblPrEx>
        <w:trPr>
          <w:trHeight w:val="380"/>
          <w:jc w:val="center"/>
        </w:trPr>
        <w:tc>
          <w:tcPr>
            <w:tcW w:w="12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课程性质</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课程代码</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课程</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学分</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总学时</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开课学期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rPr>
            </w:pPr>
            <w:r>
              <w:rPr>
                <w:rFonts w:ascii="宋体" w:eastAsia="宋体" w:hAnsi="Times New Roman" w:cs="宋体" w:hint="eastAsia"/>
                <w:b/>
                <w:bCs/>
              </w:rPr>
              <w:t>课程负责人</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是否必修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备注</w:t>
            </w:r>
          </w:p>
        </w:tc>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b/>
                <w:bCs/>
                <w:sz w:val="22"/>
                <w:szCs w:val="22"/>
              </w:rPr>
              <w:t>多选组</w:t>
            </w:r>
          </w:p>
        </w:tc>
      </w:tr>
      <w:tr w:rsidR="00DE6EC6">
        <w:tblPrEx>
          <w:tblCellMar>
            <w:top w:w="0" w:type="dxa"/>
            <w:bottom w:w="0" w:type="dxa"/>
          </w:tblCellMar>
        </w:tblPrEx>
        <w:trPr>
          <w:trHeight w:val="560"/>
          <w:jc w:val="center"/>
        </w:trPr>
        <w:tc>
          <w:tcPr>
            <w:tcW w:w="1239" w:type="dxa"/>
            <w:vMerge w:val="restart"/>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公共必修课</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F0004004</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论文写作与学术规范</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赖成光</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F0502001</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第一外语（英语）</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48</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程杰</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S0004070</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工程伦理</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闫坤如</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6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Z0001047</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中国特色社会主义理论与实践研究</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36</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郭厚佳</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Z0001049</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自然辩证法概论</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18</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陶建文</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val="restart"/>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专业基础课</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S0823056</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道路交通控制理论</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48</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卢凯</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S0823078</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交通运输系统规划</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48</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胡郁葱</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Z0123038</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交通运输工程学</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刘建荣</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6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Z0123063</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路线设计原理与方法</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符锌砂</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Z0123066</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路面材料工程</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吴文亮</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val="restart"/>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专业选修课</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Z0123039</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现代公路测设</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李多奇</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5</w:t>
            </w:r>
            <w:r>
              <w:rPr>
                <w:rFonts w:ascii="宋体" w:eastAsia="宋体" w:hAnsi="Times New Roman" w:cs="宋体" w:hint="eastAsia"/>
                <w:sz w:val="22"/>
                <w:szCs w:val="22"/>
              </w:rPr>
              <w:t>选</w:t>
            </w:r>
            <w:r>
              <w:rPr>
                <w:rFonts w:ascii="宋体" w:eastAsia="宋体" w:hAnsi="Times New Roman" w:cs="宋体"/>
                <w:sz w:val="22"/>
                <w:szCs w:val="22"/>
              </w:rPr>
              <w:t>2</w:t>
            </w: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Z0123040</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运输经济学</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张全</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Z0123048</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交通工程设施设计</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刘伟铭</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Z0123057</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路面管理系统</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王端宜</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Z0823004</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道路安全工程</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32</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王晓飞</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00"/>
          <w:jc w:val="center"/>
        </w:trPr>
        <w:tc>
          <w:tcPr>
            <w:tcW w:w="1239" w:type="dxa"/>
            <w:vMerge w:val="restart"/>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公共选修课</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S0004053</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项目管理概论</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16</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余建军</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2</w:t>
            </w:r>
            <w:r>
              <w:rPr>
                <w:rFonts w:ascii="宋体" w:eastAsia="宋体" w:hAnsi="Times New Roman" w:cs="宋体" w:hint="eastAsia"/>
                <w:sz w:val="22"/>
                <w:szCs w:val="22"/>
              </w:rPr>
              <w:t>选</w:t>
            </w:r>
            <w:r>
              <w:rPr>
                <w:rFonts w:ascii="宋体" w:eastAsia="宋体" w:hAnsi="Times New Roman" w:cs="宋体"/>
                <w:sz w:val="22"/>
                <w:szCs w:val="22"/>
              </w:rPr>
              <w:t>1</w:t>
            </w:r>
          </w:p>
        </w:tc>
      </w:tr>
      <w:tr w:rsidR="00DE6EC6">
        <w:tblPrEx>
          <w:tblCellMar>
            <w:top w:w="0" w:type="dxa"/>
            <w:bottom w:w="0" w:type="dxa"/>
          </w:tblCellMar>
        </w:tblPrEx>
        <w:trPr>
          <w:trHeight w:val="500"/>
          <w:jc w:val="center"/>
        </w:trPr>
        <w:tc>
          <w:tcPr>
            <w:tcW w:w="1239" w:type="dxa"/>
            <w:vMerge/>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S0004054</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社会创新与创业</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16</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张鹏</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rPr>
                <w:rFonts w:ascii="宋体" w:eastAsia="宋体" w:hAnsi="Times New Roman" w:cs="宋体"/>
                <w:sz w:val="22"/>
                <w:szCs w:val="22"/>
              </w:rPr>
            </w:pPr>
          </w:p>
        </w:tc>
      </w:tr>
      <w:tr w:rsidR="00DE6EC6">
        <w:tblPrEx>
          <w:tblCellMar>
            <w:top w:w="0" w:type="dxa"/>
            <w:bottom w:w="0" w:type="dxa"/>
          </w:tblCellMar>
        </w:tblPrEx>
        <w:trPr>
          <w:trHeight w:val="560"/>
          <w:jc w:val="center"/>
        </w:trPr>
        <w:tc>
          <w:tcPr>
            <w:tcW w:w="12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必修环节</w:t>
            </w:r>
          </w:p>
        </w:tc>
        <w:tc>
          <w:tcPr>
            <w:tcW w:w="14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F0004003</w:t>
            </w:r>
          </w:p>
        </w:tc>
        <w:tc>
          <w:tcPr>
            <w:tcW w:w="1918" w:type="dxa"/>
            <w:tcBorders>
              <w:top w:val="single" w:sz="6" w:space="0" w:color="000000"/>
              <w:left w:val="single" w:sz="6" w:space="0" w:color="000000"/>
              <w:bottom w:val="single" w:sz="6" w:space="0" w:color="000000"/>
            </w:tcBorders>
            <w:shd w:val="clear" w:color="auto" w:fill="FFFFFF"/>
            <w:vAlign w:val="center"/>
          </w:tcPr>
          <w:p w:rsidR="00DE6EC6" w:rsidRDefault="00DE6EC6">
            <w:pPr>
              <w:rPr>
                <w:rFonts w:ascii="宋体" w:eastAsia="宋体" w:hAnsi="Times New Roman" w:cs="宋体"/>
                <w:sz w:val="22"/>
                <w:szCs w:val="22"/>
              </w:rPr>
            </w:pPr>
            <w:r>
              <w:rPr>
                <w:rFonts w:ascii="宋体" w:eastAsia="宋体" w:hAnsi="Times New Roman" w:cs="宋体" w:hint="eastAsia"/>
                <w:sz w:val="22"/>
                <w:szCs w:val="22"/>
              </w:rPr>
              <w:t>专业实践（非全日制工程硕士）</w:t>
            </w:r>
          </w:p>
        </w:tc>
        <w:tc>
          <w:tcPr>
            <w:tcW w:w="49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6</w:t>
            </w:r>
          </w:p>
        </w:tc>
        <w:tc>
          <w:tcPr>
            <w:tcW w:w="71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sz w:val="22"/>
                <w:szCs w:val="22"/>
              </w:rPr>
              <w:t>96</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研究生院</w:t>
            </w:r>
          </w:p>
        </w:tc>
        <w:tc>
          <w:tcPr>
            <w:tcW w:w="97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939" w:type="dxa"/>
            <w:tcBorders>
              <w:top w:val="single" w:sz="6" w:space="0" w:color="000000"/>
              <w:left w:val="single" w:sz="6" w:space="0" w:color="000000"/>
              <w:bottom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6EC6" w:rsidRDefault="00DE6EC6">
            <w:pPr>
              <w:jc w:val="center"/>
              <w:rPr>
                <w:rFonts w:ascii="宋体" w:eastAsia="宋体" w:hAnsi="Times New Roman" w:cs="宋体"/>
                <w:sz w:val="22"/>
                <w:szCs w:val="22"/>
              </w:rPr>
            </w:pPr>
          </w:p>
        </w:tc>
      </w:tr>
    </w:tbl>
    <w:p w:rsidR="00DE6EC6" w:rsidRDefault="00DE6EC6"/>
    <w:sectPr w:rsidR="00DE6EC6">
      <w:pgSz w:w="11900" w:h="16820"/>
      <w:pgMar w:top="840" w:right="460" w:bottom="860" w:left="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03" w:rsidRDefault="00CF0603" w:rsidP="00DE6EC6">
      <w:r>
        <w:separator/>
      </w:r>
    </w:p>
  </w:endnote>
  <w:endnote w:type="continuationSeparator" w:id="0">
    <w:p w:rsidR="00CF0603" w:rsidRDefault="00CF0603" w:rsidP="00DE6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03" w:rsidRDefault="00CF0603" w:rsidP="00DE6EC6">
      <w:r>
        <w:separator/>
      </w:r>
    </w:p>
  </w:footnote>
  <w:footnote w:type="continuationSeparator" w:id="0">
    <w:p w:rsidR="00CF0603" w:rsidRDefault="00CF0603" w:rsidP="00DE6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97C"/>
    <w:rsid w:val="0008218A"/>
    <w:rsid w:val="009C697C"/>
    <w:rsid w:val="00A00CDC"/>
    <w:rsid w:val="00CF0603"/>
    <w:rsid w:val="00DE6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locked/>
    <w:rPr>
      <w:rFonts w:cs="Times New Roman"/>
      <w:b/>
      <w:bCs/>
      <w:sz w:val="32"/>
      <w:szCs w:val="32"/>
    </w:rPr>
  </w:style>
  <w:style w:type="paragraph" w:styleId="a3">
    <w:name w:val="header"/>
    <w:basedOn w:val="a"/>
    <w:link w:val="Char"/>
    <w:uiPriority w:val="99"/>
    <w:semiHidden/>
    <w:unhideWhenUsed/>
    <w:rsid w:val="00DE6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E6EC6"/>
    <w:rPr>
      <w:rFonts w:ascii="Arial" w:hAnsi="Arial" w:cs="Arial"/>
      <w:color w:val="000000"/>
      <w:kern w:val="0"/>
      <w:sz w:val="18"/>
      <w:szCs w:val="18"/>
    </w:rPr>
  </w:style>
  <w:style w:type="paragraph" w:styleId="a4">
    <w:name w:val="footer"/>
    <w:basedOn w:val="a"/>
    <w:link w:val="Char0"/>
    <w:uiPriority w:val="99"/>
    <w:semiHidden/>
    <w:unhideWhenUsed/>
    <w:rsid w:val="00DE6EC6"/>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DE6EC6"/>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2019-10-25T01:17:00Z</dcterms:created>
  <dcterms:modified xsi:type="dcterms:W3CDTF">2019-10-25T01:17:00Z</dcterms:modified>
</cp:coreProperties>
</file>