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20" w:lineRule="atLeast"/>
        <w:jc w:val="center"/>
        <w:rPr>
          <w:rFonts w:ascii="华文中宋" w:hAnsi="华文中宋" w:eastAsia="华文中宋"/>
          <w:sz w:val="32"/>
          <w:szCs w:val="32"/>
        </w:rPr>
      </w:pPr>
      <w:r>
        <w:rPr>
          <w:rFonts w:hint="eastAsia" w:ascii="华文中宋" w:hAnsi="华文中宋" w:eastAsia="华文中宋"/>
          <w:sz w:val="32"/>
          <w:szCs w:val="32"/>
        </w:rPr>
        <w:t>生活部班委（生活</w:t>
      </w:r>
      <w:r>
        <w:rPr>
          <w:rFonts w:ascii="华文中宋" w:hAnsi="华文中宋" w:eastAsia="华文中宋"/>
          <w:sz w:val="32"/>
          <w:szCs w:val="32"/>
        </w:rPr>
        <w:t>与心理</w:t>
      </w:r>
      <w:r>
        <w:rPr>
          <w:rFonts w:hint="eastAsia" w:ascii="华文中宋" w:hAnsi="华文中宋" w:eastAsia="华文中宋"/>
          <w:sz w:val="32"/>
          <w:szCs w:val="32"/>
        </w:rPr>
        <w:t>委员）对接考核办法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一、相关加扣分项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1.信息的收发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①通知转发以截图为据，无转发班级两位生委各扣0.5分/次；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②要求生委完成的工作，如收集信息等超过ddl而无主动说明原因的班级，两位生委各扣0.5分/次；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③信息收集缺漏或出错的班级，两位生委各扣0.5分/次。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2.会议、宿检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①无故不出席会议的生委扣0.5分/次；参加会议的生委加0.5分/次；若迟到，扣0.2分/次，即当次加0.3分/次；请假不出席会议的生委不做处理。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②参加宿检的生委，加0.5分/次，若迟到，扣0.2分/次，即当次加0.3分/次。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3.活动参与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关于生活部举办的活动，若所在班级有同学报名参加，则该班级的两位生委各加0.1分/每报名一人。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注：每位生委的基础分为3分，分数加至满分（5分）为止。</w:t>
      </w:r>
    </w:p>
    <w:p>
      <w:pPr>
        <w:spacing w:line="220" w:lineRule="atLeas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</w:rPr>
        <w:t>二、评分表</w:t>
      </w:r>
    </w:p>
    <w:tbl>
      <w:tblPr>
        <w:tblStyle w:val="8"/>
        <w:tblW w:w="82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7"/>
        <w:gridCol w:w="1630"/>
        <w:gridCol w:w="1481"/>
        <w:gridCol w:w="1019"/>
        <w:gridCol w:w="815"/>
        <w:gridCol w:w="884"/>
        <w:gridCol w:w="751"/>
        <w:gridCol w:w="7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927" w:type="dxa"/>
            <w:vMerge w:val="restart"/>
          </w:tcPr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姓名</w:t>
            </w:r>
          </w:p>
        </w:tc>
        <w:tc>
          <w:tcPr>
            <w:tcW w:w="1630" w:type="dxa"/>
            <w:vMerge w:val="restart"/>
          </w:tcPr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学号</w:t>
            </w:r>
          </w:p>
        </w:tc>
        <w:tc>
          <w:tcPr>
            <w:tcW w:w="1481" w:type="dxa"/>
            <w:vMerge w:val="restart"/>
          </w:tcPr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班级</w:t>
            </w:r>
          </w:p>
        </w:tc>
        <w:tc>
          <w:tcPr>
            <w:tcW w:w="1834" w:type="dxa"/>
            <w:gridSpan w:val="2"/>
          </w:tcPr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加分情况</w:t>
            </w:r>
          </w:p>
        </w:tc>
        <w:tc>
          <w:tcPr>
            <w:tcW w:w="1635" w:type="dxa"/>
            <w:gridSpan w:val="2"/>
          </w:tcPr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扣分情况</w:t>
            </w:r>
          </w:p>
        </w:tc>
        <w:tc>
          <w:tcPr>
            <w:tcW w:w="733" w:type="dxa"/>
            <w:vMerge w:val="restart"/>
          </w:tcPr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</w:p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27" w:type="dxa"/>
            <w:vMerge w:val="continue"/>
          </w:tcPr>
          <w:p>
            <w:pPr>
              <w:spacing w:line="220" w:lineRule="atLeast"/>
              <w:jc w:val="center"/>
              <w:rPr>
                <w:sz w:val="24"/>
              </w:rPr>
            </w:pPr>
          </w:p>
        </w:tc>
        <w:tc>
          <w:tcPr>
            <w:tcW w:w="1630" w:type="dxa"/>
            <w:vMerge w:val="continue"/>
          </w:tcPr>
          <w:p>
            <w:pPr>
              <w:spacing w:line="220" w:lineRule="atLeast"/>
              <w:jc w:val="center"/>
              <w:rPr>
                <w:sz w:val="24"/>
              </w:rPr>
            </w:pPr>
          </w:p>
        </w:tc>
        <w:tc>
          <w:tcPr>
            <w:tcW w:w="1481" w:type="dxa"/>
            <w:vMerge w:val="continue"/>
          </w:tcPr>
          <w:p>
            <w:pPr>
              <w:spacing w:line="220" w:lineRule="atLeast"/>
              <w:jc w:val="center"/>
              <w:rPr>
                <w:sz w:val="24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内容</w:t>
            </w:r>
          </w:p>
        </w:tc>
        <w:tc>
          <w:tcPr>
            <w:tcW w:w="815" w:type="dxa"/>
          </w:tcPr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分数</w:t>
            </w:r>
          </w:p>
        </w:tc>
        <w:tc>
          <w:tcPr>
            <w:tcW w:w="884" w:type="dxa"/>
          </w:tcPr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内容</w:t>
            </w:r>
          </w:p>
        </w:tc>
        <w:tc>
          <w:tcPr>
            <w:tcW w:w="751" w:type="dxa"/>
          </w:tcPr>
          <w:p>
            <w:pPr>
              <w:spacing w:line="220" w:lineRule="atLeas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分数</w:t>
            </w:r>
          </w:p>
        </w:tc>
        <w:tc>
          <w:tcPr>
            <w:tcW w:w="733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continue"/>
          </w:tcPr>
          <w:p>
            <w:pPr>
              <w:spacing w:line="220" w:lineRule="atLeast"/>
            </w:pPr>
          </w:p>
        </w:tc>
        <w:tc>
          <w:tcPr>
            <w:tcW w:w="1630" w:type="dxa"/>
            <w:vMerge w:val="continue"/>
          </w:tcPr>
          <w:p>
            <w:pPr>
              <w:spacing w:line="220" w:lineRule="atLeast"/>
            </w:pPr>
          </w:p>
        </w:tc>
        <w:tc>
          <w:tcPr>
            <w:tcW w:w="1481" w:type="dxa"/>
            <w:vMerge w:val="continue"/>
          </w:tcPr>
          <w:p>
            <w:pPr>
              <w:spacing w:line="220" w:lineRule="atLeast"/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continue"/>
          </w:tcPr>
          <w:p>
            <w:pPr>
              <w:spacing w:line="220" w:lineRule="atLeast"/>
            </w:pPr>
          </w:p>
        </w:tc>
        <w:tc>
          <w:tcPr>
            <w:tcW w:w="1630" w:type="dxa"/>
            <w:vMerge w:val="continue"/>
          </w:tcPr>
          <w:p>
            <w:pPr>
              <w:spacing w:line="220" w:lineRule="atLeast"/>
            </w:pPr>
          </w:p>
        </w:tc>
        <w:tc>
          <w:tcPr>
            <w:tcW w:w="1481" w:type="dxa"/>
            <w:vMerge w:val="continue"/>
          </w:tcPr>
          <w:p>
            <w:pPr>
              <w:spacing w:line="220" w:lineRule="atLeast"/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restart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continue"/>
          </w:tcPr>
          <w:p>
            <w:pPr>
              <w:spacing w:line="220" w:lineRule="atLeast"/>
            </w:pPr>
          </w:p>
        </w:tc>
        <w:tc>
          <w:tcPr>
            <w:tcW w:w="1630" w:type="dxa"/>
            <w:vMerge w:val="continue"/>
          </w:tcPr>
          <w:p>
            <w:pPr>
              <w:spacing w:line="220" w:lineRule="atLeast"/>
            </w:pPr>
          </w:p>
        </w:tc>
        <w:tc>
          <w:tcPr>
            <w:tcW w:w="1481" w:type="dxa"/>
            <w:vMerge w:val="continue"/>
          </w:tcPr>
          <w:p>
            <w:pPr>
              <w:spacing w:line="220" w:lineRule="atLeast"/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  <w:vMerge w:val="continue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927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927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630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48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019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15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884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51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733" w:type="dxa"/>
          </w:tcPr>
          <w:p>
            <w:pPr>
              <w:spacing w:line="220" w:lineRule="atLeast"/>
              <w:rPr>
                <w:rFonts w:ascii="宋体" w:hAnsi="宋体" w:cs="宋体"/>
                <w:sz w:val="28"/>
                <w:szCs w:val="28"/>
              </w:rPr>
            </w:pPr>
          </w:p>
        </w:tc>
      </w:tr>
    </w:tbl>
    <w:p>
      <w:pPr>
        <w:spacing w:line="220" w:lineRule="atLeast"/>
        <w:jc w:val="right"/>
        <w:rPr>
          <w:rFonts w:ascii="宋体" w:hAnsi="宋体" w:cs="宋体"/>
          <w:sz w:val="28"/>
          <w:szCs w:val="28"/>
        </w:rPr>
      </w:pPr>
    </w:p>
    <w:p>
      <w:pPr>
        <w:spacing w:line="220" w:lineRule="atLeast"/>
        <w:jc w:val="right"/>
        <w:rPr>
          <w:rFonts w:hint="eastAsia" w:ascii="宋体" w:hAnsi="宋体" w:cs="宋体"/>
          <w:sz w:val="28"/>
          <w:szCs w:val="28"/>
          <w:lang w:val="en-US" w:eastAsia="zh-CN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二零一八年四月十五号</w:t>
      </w:r>
    </w:p>
    <w:p>
      <w:pPr>
        <w:spacing w:line="220" w:lineRule="atLeast"/>
        <w:jc w:val="right"/>
        <w:rPr>
          <w:rFonts w:hint="eastAsia" w:ascii="宋体" w:hAnsi="宋体" w:cs="宋体"/>
          <w:sz w:val="28"/>
          <w:szCs w:val="28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CF3C52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bordersDoNotSurroundHeader w:val="1"/>
  <w:bordersDoNotSurroundFooter w:val="1"/>
  <w:documentProtection w:enforcement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48626A"/>
    <w:rsid w:val="00241433"/>
    <w:rsid w:val="0048626A"/>
    <w:rsid w:val="00E847C0"/>
    <w:rsid w:val="32AE485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微软雅黑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2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0"/>
    <w:qFormat/>
    <w:uiPriority w:val="99"/>
    <w:pPr>
      <w:widowControl/>
      <w:tabs>
        <w:tab w:val="center" w:pos="4153"/>
        <w:tab w:val="right" w:pos="8306"/>
      </w:tabs>
      <w:adjustRightInd w:val="0"/>
      <w:snapToGrid w:val="0"/>
      <w:spacing w:after="200"/>
      <w:jc w:val="left"/>
    </w:pPr>
    <w:rPr>
      <w:rFonts w:ascii="Tahoma" w:hAnsi="Tahoma" w:eastAsia="微软雅黑" w:cs="宋体"/>
      <w:kern w:val="0"/>
      <w:sz w:val="18"/>
      <w:szCs w:val="18"/>
    </w:rPr>
  </w:style>
  <w:style w:type="paragraph" w:styleId="5">
    <w:name w:val="header"/>
    <w:basedOn w:val="1"/>
    <w:link w:val="9"/>
    <w:qFormat/>
    <w:uiPriority w:val="99"/>
    <w:pPr>
      <w:widowControl/>
      <w:pBdr>
        <w:bottom w:val="single" w:color="auto" w:sz="6" w:space="1"/>
      </w:pBdr>
      <w:tabs>
        <w:tab w:val="center" w:pos="4153"/>
        <w:tab w:val="right" w:pos="8306"/>
      </w:tabs>
      <w:adjustRightInd w:val="0"/>
      <w:snapToGrid w:val="0"/>
      <w:spacing w:after="200"/>
      <w:jc w:val="center"/>
    </w:pPr>
    <w:rPr>
      <w:rFonts w:ascii="Tahoma" w:hAnsi="Tahoma" w:eastAsia="微软雅黑" w:cs="宋体"/>
      <w:kern w:val="0"/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6"/>
    <w:link w:val="5"/>
    <w:qFormat/>
    <w:uiPriority w:val="99"/>
    <w:rPr>
      <w:rFonts w:ascii="Tahoma" w:hAnsi="Tahoma"/>
      <w:sz w:val="18"/>
      <w:szCs w:val="18"/>
    </w:rPr>
  </w:style>
  <w:style w:type="character" w:customStyle="1" w:styleId="10">
    <w:name w:val="页脚 Char"/>
    <w:basedOn w:val="6"/>
    <w:link w:val="4"/>
    <w:qFormat/>
    <w:uiPriority w:val="99"/>
    <w:rPr>
      <w:rFonts w:ascii="Tahoma" w:hAnsi="Tahoma"/>
      <w:sz w:val="18"/>
      <w:szCs w:val="18"/>
    </w:rPr>
  </w:style>
  <w:style w:type="character" w:customStyle="1" w:styleId="11">
    <w:name w:val="标题 1 Char"/>
    <w:basedOn w:val="6"/>
    <w:link w:val="2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12">
    <w:name w:val="标题 2 Char"/>
    <w:basedOn w:val="6"/>
    <w:link w:val="3"/>
    <w:qFormat/>
    <w:uiPriority w:val="0"/>
    <w:rPr>
      <w:rFonts w:ascii="Arial" w:hAnsi="Arial" w:eastAsia="黑体" w:cs="Times New Roman"/>
      <w:b/>
      <w:bCs/>
      <w:kern w:val="2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97AD313-0D48-480A-A34E-B789EFD6D79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78</Words>
  <Characters>447</Characters>
  <Lines>3</Lines>
  <Paragraphs>1</Paragraphs>
  <TotalTime>0</TotalTime>
  <ScaleCrop>false</ScaleCrop>
  <LinksUpToDate>false</LinksUpToDate>
  <CharactersWithSpaces>524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敏以食为天。</cp:lastModifiedBy>
  <dcterms:modified xsi:type="dcterms:W3CDTF">2018-04-16T05:10:44Z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