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华文中宋" w:hAnsi="华文中宋" w:eastAsia="华文中宋" w:cs="华文中宋"/>
          <w:b/>
          <w:sz w:val="44"/>
          <w:szCs w:val="44"/>
        </w:rPr>
      </w:pPr>
      <w:r>
        <w:rPr>
          <w:rFonts w:hint="eastAsia" w:ascii="华文中宋" w:hAnsi="华文中宋" w:eastAsia="华文中宋" w:cs="华文中宋"/>
          <w:b/>
          <w:sz w:val="44"/>
          <w:szCs w:val="44"/>
        </w:rPr>
        <w:t>食品科学与工程学院</w:t>
      </w:r>
      <w:r>
        <w:rPr>
          <w:rFonts w:hint="eastAsia" w:ascii="华文中宋" w:hAnsi="华文中宋" w:eastAsia="华文中宋" w:cs="华文中宋"/>
          <w:b/>
          <w:sz w:val="44"/>
          <w:szCs w:val="44"/>
          <w:lang w:val="en-US" w:eastAsia="zh-CN"/>
        </w:rPr>
        <w:t>宣传学术科技</w:t>
      </w:r>
      <w:r>
        <w:rPr>
          <w:rFonts w:hint="eastAsia" w:ascii="华文中宋" w:hAnsi="华文中宋" w:eastAsia="华文中宋" w:cs="华文中宋"/>
          <w:b/>
          <w:sz w:val="44"/>
          <w:szCs w:val="44"/>
        </w:rPr>
        <w:t>委员评分细则</w:t>
      </w:r>
    </w:p>
    <w:p>
      <w:pPr>
        <w:jc w:val="left"/>
        <w:rPr>
          <w:rFonts w:hint="eastAsia" w:ascii="仿宋" w:hAnsi="仿宋" w:eastAsia="仿宋" w:cs="仿宋"/>
          <w:b w:val="0"/>
          <w:bCs w:val="0"/>
          <w:color w:val="000000"/>
          <w:sz w:val="28"/>
          <w:szCs w:val="28"/>
          <w:lang w:val="en-US" w:eastAsia="zh-CN"/>
        </w:rPr>
      </w:pPr>
      <w:r>
        <w:rPr>
          <w:rFonts w:hint="eastAsia" w:ascii="华文中宋" w:hAnsi="华文中宋" w:eastAsia="华文中宋"/>
          <w:b/>
          <w:sz w:val="32"/>
          <w:szCs w:val="32"/>
          <w:lang w:val="en-US" w:eastAsia="zh-CN"/>
        </w:rPr>
        <w:t xml:space="preserve">  </w:t>
      </w:r>
      <w:r>
        <w:rPr>
          <w:rFonts w:hint="eastAsia" w:ascii="仿宋" w:hAnsi="仿宋" w:eastAsia="仿宋" w:cs="仿宋"/>
          <w:b w:val="0"/>
          <w:bCs w:val="0"/>
          <w:color w:val="000000"/>
          <w:sz w:val="28"/>
          <w:szCs w:val="28"/>
          <w:lang w:val="en-US" w:eastAsia="zh-CN"/>
        </w:rPr>
        <w:t>宣传学术科技委员由与其对接的新闻部与学术与职业发展部联合考核，并由两个部门分别打分，各记总分50分，考核总分为100分。具体考核细则的如下：</w:t>
      </w:r>
    </w:p>
    <w:tbl>
      <w:tblPr>
        <w:tblStyle w:val="3"/>
        <w:tblW w:w="13476" w:type="dxa"/>
        <w:tblInd w:w="93" w:type="dxa"/>
        <w:tblLayout w:type="fixed"/>
        <w:tblCellMar>
          <w:top w:w="0" w:type="dxa"/>
          <w:left w:w="108" w:type="dxa"/>
          <w:bottom w:w="0" w:type="dxa"/>
          <w:right w:w="108" w:type="dxa"/>
        </w:tblCellMar>
      </w:tblPr>
      <w:tblGrid>
        <w:gridCol w:w="1300"/>
        <w:gridCol w:w="1196"/>
        <w:gridCol w:w="1260"/>
        <w:gridCol w:w="2740"/>
        <w:gridCol w:w="2860"/>
        <w:gridCol w:w="560"/>
        <w:gridCol w:w="560"/>
        <w:gridCol w:w="560"/>
        <w:gridCol w:w="560"/>
        <w:gridCol w:w="560"/>
        <w:gridCol w:w="1320"/>
      </w:tblGrid>
      <w:tr>
        <w:tblPrEx>
          <w:tblLayout w:type="fixed"/>
          <w:tblCellMar>
            <w:top w:w="0" w:type="dxa"/>
            <w:left w:w="108" w:type="dxa"/>
            <w:bottom w:w="0" w:type="dxa"/>
            <w:right w:w="108" w:type="dxa"/>
          </w:tblCellMar>
        </w:tblPrEx>
        <w:trPr>
          <w:trHeight w:val="405" w:hRule="atLeast"/>
        </w:trPr>
        <w:tc>
          <w:tcPr>
            <w:tcW w:w="13476" w:type="dxa"/>
            <w:gridSpan w:val="11"/>
            <w:tcBorders>
              <w:top w:val="single" w:color="auto" w:sz="8" w:space="0"/>
              <w:left w:val="single" w:color="auto" w:sz="8" w:space="0"/>
              <w:bottom w:val="single" w:color="auto" w:sz="8" w:space="0"/>
              <w:right w:val="single" w:color="auto" w:sz="8" w:space="0"/>
            </w:tcBorders>
            <w:vAlign w:val="center"/>
          </w:tcPr>
          <w:p>
            <w:pPr>
              <w:widowControl/>
              <w:jc w:val="center"/>
              <w:rPr>
                <w:rFonts w:hint="eastAsia" w:ascii="Times New Roman" w:hAnsi="Times New Roman" w:eastAsia="华文中宋"/>
                <w:b/>
                <w:color w:val="000000"/>
                <w:kern w:val="0"/>
                <w:sz w:val="32"/>
                <w:szCs w:val="32"/>
                <w:lang w:eastAsia="zh-CN"/>
              </w:rPr>
            </w:pPr>
            <w:r>
              <w:rPr>
                <w:rFonts w:hint="eastAsia" w:ascii="Times New Roman" w:hAnsi="Times New Roman" w:eastAsia="仿宋"/>
                <w:b/>
                <w:color w:val="000000"/>
                <w:kern w:val="0"/>
                <w:sz w:val="32"/>
                <w:szCs w:val="32"/>
              </w:rPr>
              <w:t xml:space="preserve">20 </w:t>
            </w:r>
            <w:r>
              <w:rPr>
                <w:rFonts w:hint="eastAsia" w:ascii="华文中宋" w:hAnsi="华文中宋" w:eastAsia="华文中宋"/>
                <w:b/>
                <w:color w:val="000000"/>
                <w:kern w:val="0"/>
                <w:sz w:val="32"/>
                <w:szCs w:val="32"/>
              </w:rPr>
              <w:t>年</w:t>
            </w:r>
            <w:r>
              <w:rPr>
                <w:rFonts w:hint="eastAsia" w:ascii="Times New Roman" w:hAnsi="Times New Roman" w:eastAsia="仿宋"/>
                <w:b/>
                <w:color w:val="000000"/>
                <w:kern w:val="0"/>
                <w:sz w:val="32"/>
                <w:szCs w:val="32"/>
              </w:rPr>
              <w:t xml:space="preserve">—20 </w:t>
            </w:r>
            <w:r>
              <w:rPr>
                <w:rFonts w:hint="eastAsia" w:ascii="华文中宋" w:hAnsi="华文中宋" w:eastAsia="华文中宋"/>
                <w:b/>
                <w:color w:val="000000"/>
                <w:kern w:val="0"/>
                <w:sz w:val="32"/>
                <w:szCs w:val="32"/>
              </w:rPr>
              <w:t>年第 学期</w:t>
            </w:r>
            <w:r>
              <w:rPr>
                <w:rFonts w:hint="eastAsia" w:ascii="华文中宋" w:hAnsi="华文中宋" w:eastAsia="华文中宋"/>
                <w:b/>
                <w:color w:val="000000"/>
                <w:kern w:val="0"/>
                <w:sz w:val="32"/>
                <w:szCs w:val="32"/>
                <w:lang w:val="en-US" w:eastAsia="zh-CN"/>
              </w:rPr>
              <w:t>宣传学术科技委员评分细则</w:t>
            </w:r>
          </w:p>
        </w:tc>
      </w:tr>
      <w:tr>
        <w:tblPrEx>
          <w:tblLayout w:type="fixed"/>
          <w:tblCellMar>
            <w:top w:w="0" w:type="dxa"/>
            <w:left w:w="108" w:type="dxa"/>
            <w:bottom w:w="0" w:type="dxa"/>
            <w:right w:w="108" w:type="dxa"/>
          </w:tblCellMar>
        </w:tblPrEx>
        <w:trPr>
          <w:trHeight w:val="405" w:hRule="atLeast"/>
        </w:trPr>
        <w:tc>
          <w:tcPr>
            <w:tcW w:w="13476" w:type="dxa"/>
            <w:gridSpan w:val="11"/>
            <w:tcBorders>
              <w:top w:val="single" w:color="auto" w:sz="8" w:space="0"/>
              <w:left w:val="single" w:color="auto" w:sz="8" w:space="0"/>
              <w:bottom w:val="single" w:color="auto" w:sz="8" w:space="0"/>
              <w:right w:val="single" w:color="auto" w:sz="8" w:space="0"/>
            </w:tcBorders>
            <w:vAlign w:val="center"/>
          </w:tcPr>
          <w:p>
            <w:pPr>
              <w:widowControl/>
              <w:jc w:val="center"/>
              <w:rPr>
                <w:rFonts w:hint="eastAsia" w:ascii="Times New Roman" w:hAnsi="Times New Roman" w:eastAsia="仿宋"/>
                <w:b/>
                <w:color w:val="000000"/>
                <w:kern w:val="0"/>
                <w:sz w:val="32"/>
                <w:szCs w:val="32"/>
              </w:rPr>
            </w:pPr>
            <w:r>
              <w:rPr>
                <w:rFonts w:hint="eastAsia" w:ascii="华文中宋" w:hAnsi="华文中宋" w:eastAsia="华文中宋"/>
                <w:b/>
                <w:color w:val="000000"/>
                <w:kern w:val="0"/>
                <w:sz w:val="32"/>
                <w:szCs w:val="32"/>
                <w:lang w:val="en-US" w:eastAsia="zh-CN"/>
              </w:rPr>
              <w:t>新闻部</w:t>
            </w:r>
            <w:r>
              <w:rPr>
                <w:rFonts w:hint="eastAsia" w:ascii="华文中宋" w:hAnsi="华文中宋" w:eastAsia="华文中宋"/>
                <w:b/>
                <w:color w:val="000000"/>
                <w:kern w:val="0"/>
                <w:sz w:val="32"/>
                <w:szCs w:val="32"/>
              </w:rPr>
              <w:t>考核</w:t>
            </w:r>
            <w:r>
              <w:rPr>
                <w:rFonts w:hint="eastAsia" w:ascii="华文中宋" w:hAnsi="华文中宋" w:eastAsia="华文中宋"/>
                <w:b/>
                <w:color w:val="000000"/>
                <w:kern w:val="0"/>
                <w:sz w:val="32"/>
                <w:szCs w:val="32"/>
                <w:lang w:val="en-US" w:eastAsia="zh-CN"/>
              </w:rPr>
              <w:t>情况</w:t>
            </w:r>
            <w:bookmarkStart w:id="0" w:name="_GoBack"/>
            <w:bookmarkEnd w:id="0"/>
          </w:p>
        </w:tc>
      </w:tr>
      <w:tr>
        <w:tblPrEx>
          <w:tblLayout w:type="fixed"/>
          <w:tblCellMar>
            <w:top w:w="0" w:type="dxa"/>
            <w:left w:w="108" w:type="dxa"/>
            <w:bottom w:w="0" w:type="dxa"/>
            <w:right w:w="108" w:type="dxa"/>
          </w:tblCellMar>
        </w:tblPrEx>
        <w:trPr>
          <w:trHeight w:val="780" w:hRule="atLeast"/>
        </w:trPr>
        <w:tc>
          <w:tcPr>
            <w:tcW w:w="2496" w:type="dxa"/>
            <w:gridSpan w:val="2"/>
            <w:tcBorders>
              <w:top w:val="single" w:color="auto" w:sz="8" w:space="0"/>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团支部名称</w:t>
            </w:r>
          </w:p>
        </w:tc>
        <w:tc>
          <w:tcPr>
            <w:tcW w:w="6860" w:type="dxa"/>
            <w:gridSpan w:val="3"/>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　</w:t>
            </w:r>
          </w:p>
        </w:tc>
        <w:tc>
          <w:tcPr>
            <w:tcW w:w="1680" w:type="dxa"/>
            <w:gridSpan w:val="3"/>
            <w:tcBorders>
              <w:top w:val="single" w:color="auto" w:sz="8" w:space="0"/>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通讯员名称</w:t>
            </w:r>
          </w:p>
        </w:tc>
        <w:tc>
          <w:tcPr>
            <w:tcW w:w="2440" w:type="dxa"/>
            <w:gridSpan w:val="3"/>
            <w:tcBorders>
              <w:top w:val="single" w:color="auto" w:sz="8" w:space="0"/>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Layout w:type="fixed"/>
          <w:tblCellMar>
            <w:top w:w="0" w:type="dxa"/>
            <w:left w:w="108" w:type="dxa"/>
            <w:bottom w:w="0" w:type="dxa"/>
            <w:right w:w="108" w:type="dxa"/>
          </w:tblCellMar>
        </w:tblPrEx>
        <w:trPr>
          <w:trHeight w:val="390" w:hRule="atLeast"/>
        </w:trPr>
        <w:tc>
          <w:tcPr>
            <w:tcW w:w="1300" w:type="dxa"/>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　</w:t>
            </w:r>
          </w:p>
        </w:tc>
        <w:tc>
          <w:tcPr>
            <w:tcW w:w="8056" w:type="dxa"/>
            <w:gridSpan w:val="4"/>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项目（分值）</w:t>
            </w:r>
          </w:p>
        </w:tc>
        <w:tc>
          <w:tcPr>
            <w:tcW w:w="2800" w:type="dxa"/>
            <w:gridSpan w:val="5"/>
            <w:tcBorders>
              <w:top w:val="single" w:color="auto" w:sz="8" w:space="0"/>
              <w:left w:val="nil"/>
              <w:bottom w:val="nil"/>
              <w:right w:val="single" w:color="auto"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得分</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平均得分</w:t>
            </w:r>
          </w:p>
        </w:tc>
      </w:tr>
      <w:tr>
        <w:tblPrEx>
          <w:tblLayout w:type="fixed"/>
          <w:tblCellMar>
            <w:top w:w="0" w:type="dxa"/>
            <w:left w:w="108" w:type="dxa"/>
            <w:bottom w:w="0" w:type="dxa"/>
            <w:right w:w="108" w:type="dxa"/>
          </w:tblCellMar>
        </w:tblPrEx>
        <w:trPr>
          <w:trHeight w:val="735" w:hRule="atLeast"/>
        </w:trPr>
        <w:tc>
          <w:tcPr>
            <w:tcW w:w="1300" w:type="dxa"/>
            <w:vMerge w:val="restart"/>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互评部分（70%）</w:t>
            </w:r>
          </w:p>
        </w:tc>
        <w:tc>
          <w:tcPr>
            <w:tcW w:w="1196" w:type="dxa"/>
            <w:vMerge w:val="restart"/>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稿件（40%）</w:t>
            </w:r>
          </w:p>
        </w:tc>
        <w:tc>
          <w:tcPr>
            <w:tcW w:w="1260" w:type="dxa"/>
            <w:vMerge w:val="restart"/>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写作规范（20%）</w:t>
            </w:r>
          </w:p>
        </w:tc>
        <w:tc>
          <w:tcPr>
            <w:tcW w:w="5600" w:type="dxa"/>
            <w:gridSpan w:val="2"/>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人物称呼和机关称呼的准确性</w:t>
            </w:r>
            <w:r>
              <w:rPr>
                <w:rFonts w:ascii="Times New Roman" w:hAnsi="Times New Roman" w:eastAsia="仿宋"/>
                <w:color w:val="000000"/>
                <w:kern w:val="0"/>
                <w:sz w:val="24"/>
                <w:szCs w:val="24"/>
              </w:rPr>
              <w:t>（10%）</w:t>
            </w:r>
          </w:p>
        </w:tc>
        <w:tc>
          <w:tcPr>
            <w:tcW w:w="560" w:type="dxa"/>
            <w:tcBorders>
              <w:top w:val="single" w:color="auto" w:sz="8" w:space="0"/>
              <w:left w:val="single" w:color="auto" w:sz="8" w:space="0"/>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single" w:color="auto" w:sz="8" w:space="0"/>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single" w:color="auto" w:sz="8" w:space="0"/>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single" w:color="auto" w:sz="8" w:space="0"/>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single" w:color="auto" w:sz="8" w:space="0"/>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750"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1196"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1260"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5600" w:type="dxa"/>
            <w:gridSpan w:val="2"/>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时间地点描述的准确性（10%）</w:t>
            </w:r>
          </w:p>
        </w:tc>
        <w:tc>
          <w:tcPr>
            <w:tcW w:w="560" w:type="dxa"/>
            <w:tcBorders>
              <w:top w:val="nil"/>
              <w:left w:val="single" w:color="auto" w:sz="8" w:space="0"/>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630"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1196"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1260" w:type="dxa"/>
            <w:vMerge w:val="restart"/>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写作内容（20%）</w:t>
            </w:r>
          </w:p>
        </w:tc>
        <w:tc>
          <w:tcPr>
            <w:tcW w:w="5600" w:type="dxa"/>
            <w:gridSpan w:val="2"/>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语句通顺，没有语病，没有错别字（5%）</w:t>
            </w:r>
          </w:p>
        </w:tc>
        <w:tc>
          <w:tcPr>
            <w:tcW w:w="560" w:type="dxa"/>
            <w:tcBorders>
              <w:top w:val="nil"/>
              <w:left w:val="single" w:color="auto" w:sz="8" w:space="0"/>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615"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1196"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1260"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5600" w:type="dxa"/>
            <w:gridSpan w:val="2"/>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新闻内容（15%）</w:t>
            </w:r>
          </w:p>
        </w:tc>
        <w:tc>
          <w:tcPr>
            <w:tcW w:w="560" w:type="dxa"/>
            <w:tcBorders>
              <w:top w:val="nil"/>
              <w:left w:val="single" w:color="auto" w:sz="8" w:space="0"/>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570"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1196" w:type="dxa"/>
            <w:vMerge w:val="restart"/>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照片（30%）</w:t>
            </w:r>
          </w:p>
        </w:tc>
        <w:tc>
          <w:tcPr>
            <w:tcW w:w="1260" w:type="dxa"/>
            <w:vMerge w:val="restart"/>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照片质量（30%）</w:t>
            </w:r>
          </w:p>
        </w:tc>
        <w:tc>
          <w:tcPr>
            <w:tcW w:w="5600" w:type="dxa"/>
            <w:gridSpan w:val="2"/>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清晰度、对比度、亮度(10%)</w:t>
            </w:r>
          </w:p>
        </w:tc>
        <w:tc>
          <w:tcPr>
            <w:tcW w:w="560" w:type="dxa"/>
            <w:tcBorders>
              <w:top w:val="nil"/>
              <w:left w:val="single" w:color="auto" w:sz="8" w:space="0"/>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570"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1196"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1260"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5600" w:type="dxa"/>
            <w:gridSpan w:val="2"/>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突出主题（10%）</w:t>
            </w:r>
          </w:p>
        </w:tc>
        <w:tc>
          <w:tcPr>
            <w:tcW w:w="560" w:type="dxa"/>
            <w:tcBorders>
              <w:top w:val="nil"/>
              <w:left w:val="single" w:color="auto" w:sz="8" w:space="0"/>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570"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1196"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1260" w:type="dxa"/>
            <w:vMerge w:val="continue"/>
            <w:tcBorders>
              <w:top w:val="nil"/>
              <w:left w:val="single" w:color="auto" w:sz="8" w:space="0"/>
              <w:bottom w:val="single" w:color="auto" w:sz="8" w:space="0"/>
              <w:right w:val="single" w:color="auto" w:sz="8" w:space="0"/>
            </w:tcBorders>
            <w:vAlign w:val="center"/>
          </w:tcPr>
          <w:p>
            <w:pPr>
              <w:widowControl/>
              <w:jc w:val="left"/>
              <w:rPr>
                <w:rFonts w:ascii="Times New Roman" w:hAnsi="Times New Roman" w:eastAsia="仿宋"/>
                <w:color w:val="000000"/>
                <w:kern w:val="0"/>
                <w:sz w:val="24"/>
                <w:szCs w:val="24"/>
              </w:rPr>
            </w:pPr>
          </w:p>
        </w:tc>
        <w:tc>
          <w:tcPr>
            <w:tcW w:w="5600" w:type="dxa"/>
            <w:gridSpan w:val="2"/>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致命问题突出（半边人、手指入镜）（10%）</w:t>
            </w:r>
          </w:p>
        </w:tc>
        <w:tc>
          <w:tcPr>
            <w:tcW w:w="560" w:type="dxa"/>
            <w:tcBorders>
              <w:top w:val="nil"/>
              <w:left w:val="single" w:color="auto" w:sz="8" w:space="0"/>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600" w:hRule="atLeast"/>
        </w:trPr>
        <w:tc>
          <w:tcPr>
            <w:tcW w:w="1300" w:type="dxa"/>
            <w:vMerge w:val="restart"/>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自评部分（30%)</w:t>
            </w:r>
          </w:p>
        </w:tc>
        <w:tc>
          <w:tcPr>
            <w:tcW w:w="1196" w:type="dxa"/>
            <w:vMerge w:val="restart"/>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稿件规范（10%）</w:t>
            </w:r>
          </w:p>
        </w:tc>
        <w:tc>
          <w:tcPr>
            <w:tcW w:w="6860" w:type="dxa"/>
            <w:gridSpan w:val="3"/>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字数（4%）</w:t>
            </w:r>
          </w:p>
        </w:tc>
        <w:tc>
          <w:tcPr>
            <w:tcW w:w="2800" w:type="dxa"/>
            <w:gridSpan w:val="5"/>
            <w:tcBorders>
              <w:top w:val="single" w:color="auto" w:sz="8" w:space="0"/>
              <w:left w:val="nil"/>
              <w:bottom w:val="single" w:color="auto" w:sz="8" w:space="0"/>
              <w:right w:val="single" w:color="000000"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600"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p>
        </w:tc>
        <w:tc>
          <w:tcPr>
            <w:tcW w:w="1196" w:type="dxa"/>
            <w:vMerge w:val="continue"/>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p>
        </w:tc>
        <w:tc>
          <w:tcPr>
            <w:tcW w:w="6860" w:type="dxa"/>
            <w:gridSpan w:val="3"/>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字体（2%）</w:t>
            </w:r>
          </w:p>
        </w:tc>
        <w:tc>
          <w:tcPr>
            <w:tcW w:w="2800" w:type="dxa"/>
            <w:gridSpan w:val="5"/>
            <w:tcBorders>
              <w:top w:val="single" w:color="auto" w:sz="8" w:space="0"/>
              <w:left w:val="nil"/>
              <w:bottom w:val="single" w:color="auto" w:sz="8" w:space="0"/>
              <w:right w:val="single" w:color="000000"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600"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p>
        </w:tc>
        <w:tc>
          <w:tcPr>
            <w:tcW w:w="1196" w:type="dxa"/>
            <w:vMerge w:val="continue"/>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p>
        </w:tc>
        <w:tc>
          <w:tcPr>
            <w:tcW w:w="6860" w:type="dxa"/>
            <w:gridSpan w:val="3"/>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换行（4%）</w:t>
            </w:r>
          </w:p>
        </w:tc>
        <w:tc>
          <w:tcPr>
            <w:tcW w:w="2800" w:type="dxa"/>
            <w:gridSpan w:val="5"/>
            <w:tcBorders>
              <w:top w:val="single" w:color="auto" w:sz="8" w:space="0"/>
              <w:left w:val="nil"/>
              <w:bottom w:val="single" w:color="auto" w:sz="8" w:space="0"/>
              <w:right w:val="single" w:color="000000"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825"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p>
        </w:tc>
        <w:tc>
          <w:tcPr>
            <w:tcW w:w="1196" w:type="dxa"/>
            <w:tcBorders>
              <w:top w:val="nil"/>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发布时间（5%）</w:t>
            </w:r>
          </w:p>
        </w:tc>
        <w:tc>
          <w:tcPr>
            <w:tcW w:w="6860" w:type="dxa"/>
            <w:gridSpan w:val="3"/>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新闻稿件发布是否及时(5%)</w:t>
            </w:r>
          </w:p>
        </w:tc>
        <w:tc>
          <w:tcPr>
            <w:tcW w:w="2800" w:type="dxa"/>
            <w:gridSpan w:val="5"/>
            <w:tcBorders>
              <w:top w:val="single" w:color="auto" w:sz="8" w:space="0"/>
              <w:left w:val="nil"/>
              <w:bottom w:val="single" w:color="auto" w:sz="8" w:space="0"/>
              <w:right w:val="single" w:color="000000"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570"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p>
        </w:tc>
        <w:tc>
          <w:tcPr>
            <w:tcW w:w="1196" w:type="dxa"/>
            <w:vMerge w:val="restart"/>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新闻照片（15%）</w:t>
            </w:r>
          </w:p>
        </w:tc>
        <w:tc>
          <w:tcPr>
            <w:tcW w:w="6860" w:type="dxa"/>
            <w:gridSpan w:val="3"/>
            <w:tcBorders>
              <w:top w:val="single" w:color="auto" w:sz="8" w:space="0"/>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有无新闻照片(5%)</w:t>
            </w:r>
          </w:p>
        </w:tc>
        <w:tc>
          <w:tcPr>
            <w:tcW w:w="2800" w:type="dxa"/>
            <w:gridSpan w:val="5"/>
            <w:tcBorders>
              <w:top w:val="single" w:color="auto" w:sz="8" w:space="0"/>
              <w:left w:val="nil"/>
              <w:bottom w:val="single" w:color="auto" w:sz="8" w:space="0"/>
              <w:right w:val="single" w:color="000000"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585"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p>
        </w:tc>
        <w:tc>
          <w:tcPr>
            <w:tcW w:w="1196" w:type="dxa"/>
            <w:vMerge w:val="continue"/>
            <w:tcBorders>
              <w:top w:val="nil"/>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p>
        </w:tc>
        <w:tc>
          <w:tcPr>
            <w:tcW w:w="4000" w:type="dxa"/>
            <w:gridSpan w:val="2"/>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照片格式</w:t>
            </w:r>
          </w:p>
        </w:tc>
        <w:tc>
          <w:tcPr>
            <w:tcW w:w="2860" w:type="dxa"/>
            <w:tcBorders>
              <w:top w:val="nil"/>
              <w:left w:val="nil"/>
              <w:bottom w:val="single" w:color="auto" w:sz="8" w:space="0"/>
              <w:right w:val="single" w:color="auto" w:sz="8" w:space="0"/>
            </w:tcBorders>
            <w:vAlign w:val="center"/>
          </w:tcPr>
          <w:p>
            <w:pPr>
              <w:widowControl/>
              <w:jc w:val="center"/>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照片大小(5%)</w:t>
            </w:r>
          </w:p>
        </w:tc>
        <w:tc>
          <w:tcPr>
            <w:tcW w:w="2800" w:type="dxa"/>
            <w:gridSpan w:val="5"/>
            <w:tcBorders>
              <w:top w:val="single" w:color="auto" w:sz="8" w:space="0"/>
              <w:left w:val="nil"/>
              <w:bottom w:val="single" w:color="auto" w:sz="8" w:space="0"/>
              <w:right w:val="single" w:color="000000"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615"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p>
        </w:tc>
        <w:tc>
          <w:tcPr>
            <w:tcW w:w="1196" w:type="dxa"/>
            <w:vMerge w:val="continue"/>
            <w:tcBorders>
              <w:top w:val="nil"/>
              <w:left w:val="single" w:color="auto" w:sz="8" w:space="0"/>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p>
        </w:tc>
        <w:tc>
          <w:tcPr>
            <w:tcW w:w="4000" w:type="dxa"/>
            <w:gridSpan w:val="2"/>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p>
        </w:tc>
        <w:tc>
          <w:tcPr>
            <w:tcW w:w="286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照片拍摄方向</w:t>
            </w:r>
            <w:r>
              <w:rPr>
                <w:rFonts w:hint="eastAsia" w:ascii="Times New Roman" w:hAnsi="Times New Roman" w:eastAsia="仿宋"/>
                <w:color w:val="000000"/>
                <w:kern w:val="0"/>
                <w:sz w:val="24"/>
                <w:szCs w:val="24"/>
              </w:rPr>
              <w:t>(5%)</w:t>
            </w:r>
          </w:p>
        </w:tc>
        <w:tc>
          <w:tcPr>
            <w:tcW w:w="2800" w:type="dxa"/>
            <w:gridSpan w:val="5"/>
            <w:tcBorders>
              <w:top w:val="single" w:color="auto" w:sz="8" w:space="0"/>
              <w:left w:val="nil"/>
              <w:bottom w:val="single" w:color="auto" w:sz="8" w:space="0"/>
              <w:right w:val="single" w:color="000000"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660" w:hRule="atLeast"/>
        </w:trPr>
        <w:tc>
          <w:tcPr>
            <w:tcW w:w="1300" w:type="dxa"/>
            <w:vMerge w:val="continue"/>
            <w:tcBorders>
              <w:top w:val="nil"/>
              <w:left w:val="single" w:color="auto" w:sz="8" w:space="0"/>
              <w:bottom w:val="single" w:color="auto" w:sz="8" w:space="0"/>
              <w:right w:val="single" w:color="auto" w:sz="8" w:space="0"/>
            </w:tcBorders>
            <w:vAlign w:val="center"/>
          </w:tcPr>
          <w:p>
            <w:pPr>
              <w:widowControl/>
              <w:jc w:val="left"/>
              <w:rPr>
                <w:rFonts w:ascii="仿宋" w:hAnsi="仿宋" w:eastAsia="仿宋" w:cs="宋体"/>
                <w:color w:val="000000"/>
                <w:kern w:val="0"/>
                <w:sz w:val="24"/>
                <w:szCs w:val="24"/>
              </w:rPr>
            </w:pPr>
          </w:p>
        </w:tc>
        <w:tc>
          <w:tcPr>
            <w:tcW w:w="8056" w:type="dxa"/>
            <w:gridSpan w:val="4"/>
            <w:tcBorders>
              <w:top w:val="single" w:color="auto" w:sz="8" w:space="0"/>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总分</w:t>
            </w:r>
            <w:r>
              <w:rPr>
                <w:rFonts w:hint="eastAsia" w:ascii="Times New Roman" w:hAnsi="Times New Roman" w:eastAsia="仿宋"/>
                <w:color w:val="000000"/>
                <w:kern w:val="0"/>
                <w:sz w:val="24"/>
                <w:szCs w:val="24"/>
              </w:rPr>
              <w:t>(100)</w:t>
            </w:r>
          </w:p>
        </w:tc>
        <w:tc>
          <w:tcPr>
            <w:tcW w:w="4120" w:type="dxa"/>
            <w:gridSpan w:val="6"/>
            <w:tcBorders>
              <w:top w:val="single" w:color="auto" w:sz="8" w:space="0"/>
              <w:left w:val="nil"/>
              <w:bottom w:val="single" w:color="auto" w:sz="8" w:space="0"/>
              <w:right w:val="single" w:color="auto" w:sz="8" w:space="0"/>
            </w:tcBorders>
            <w:vAlign w:val="center"/>
          </w:tcPr>
          <w:p>
            <w:pPr>
              <w:widowControl/>
              <w:jc w:val="center"/>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270" w:hRule="atLeast"/>
        </w:trPr>
        <w:tc>
          <w:tcPr>
            <w:tcW w:w="1300" w:type="dxa"/>
            <w:tcBorders>
              <w:top w:val="nil"/>
              <w:left w:val="nil"/>
              <w:bottom w:val="nil"/>
              <w:right w:val="nil"/>
            </w:tcBorders>
            <w:vAlign w:val="center"/>
          </w:tcPr>
          <w:p>
            <w:pPr>
              <w:widowControl/>
              <w:jc w:val="right"/>
              <w:rPr>
                <w:rFonts w:ascii="仿宋" w:hAnsi="仿宋" w:eastAsia="仿宋" w:cs="宋体"/>
                <w:color w:val="000000"/>
                <w:kern w:val="0"/>
                <w:sz w:val="24"/>
                <w:szCs w:val="24"/>
              </w:rPr>
            </w:pPr>
            <w:r>
              <w:rPr>
                <w:rFonts w:hint="eastAsia" w:ascii="仿宋" w:hAnsi="仿宋" w:eastAsia="仿宋" w:cs="宋体"/>
                <w:color w:val="000000"/>
                <w:kern w:val="0"/>
                <w:sz w:val="24"/>
                <w:szCs w:val="24"/>
              </w:rPr>
              <w:t>注意事项：</w:t>
            </w:r>
          </w:p>
        </w:tc>
        <w:tc>
          <w:tcPr>
            <w:tcW w:w="8056" w:type="dxa"/>
            <w:gridSpan w:val="4"/>
            <w:tcBorders>
              <w:top w:val="single" w:color="auto" w:sz="8" w:space="0"/>
              <w:left w:val="nil"/>
              <w:bottom w:val="nil"/>
              <w:right w:val="nil"/>
            </w:tcBorders>
            <w:vAlign w:val="center"/>
          </w:tcPr>
          <w:p>
            <w:pPr>
              <w:widowControl/>
              <w:jc w:val="left"/>
              <w:rPr>
                <w:rFonts w:ascii="仿宋" w:hAnsi="仿宋" w:eastAsia="仿宋" w:cs="宋体"/>
                <w:color w:val="000000"/>
                <w:kern w:val="0"/>
                <w:sz w:val="24"/>
                <w:szCs w:val="24"/>
              </w:rPr>
            </w:pPr>
            <w:r>
              <w:rPr>
                <w:rFonts w:ascii="Times New Roman" w:hAnsi="Times New Roman" w:eastAsia="仿宋"/>
                <w:color w:val="000000"/>
                <w:kern w:val="0"/>
                <w:sz w:val="24"/>
                <w:szCs w:val="24"/>
              </w:rPr>
              <w:t>1、</w:t>
            </w:r>
            <w:r>
              <w:rPr>
                <w:rFonts w:hint="eastAsia" w:ascii="仿宋" w:hAnsi="仿宋" w:eastAsia="仿宋" w:cs="宋体"/>
                <w:color w:val="000000"/>
                <w:kern w:val="0"/>
                <w:sz w:val="24"/>
                <w:szCs w:val="24"/>
              </w:rPr>
              <w:t>本评分表采用百分制评分，分为互评和自评两个部分。</w:t>
            </w:r>
          </w:p>
        </w:tc>
        <w:tc>
          <w:tcPr>
            <w:tcW w:w="56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56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c>
          <w:tcPr>
            <w:tcW w:w="132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Layout w:type="fixed"/>
          <w:tblCellMar>
            <w:top w:w="0" w:type="dxa"/>
            <w:left w:w="108" w:type="dxa"/>
            <w:bottom w:w="0" w:type="dxa"/>
            <w:right w:w="108" w:type="dxa"/>
          </w:tblCellMar>
        </w:tblPrEx>
        <w:trPr>
          <w:trHeight w:val="270" w:hRule="atLeast"/>
        </w:trPr>
        <w:tc>
          <w:tcPr>
            <w:tcW w:w="130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p>
        </w:tc>
        <w:tc>
          <w:tcPr>
            <w:tcW w:w="8056" w:type="dxa"/>
            <w:gridSpan w:val="4"/>
            <w:tcBorders>
              <w:top w:val="nil"/>
              <w:left w:val="nil"/>
              <w:bottom w:val="nil"/>
              <w:right w:val="nil"/>
            </w:tcBorders>
            <w:vAlign w:val="center"/>
          </w:tcPr>
          <w:p>
            <w:pPr>
              <w:widowControl/>
              <w:jc w:val="left"/>
              <w:rPr>
                <w:rFonts w:ascii="仿宋" w:hAnsi="仿宋" w:eastAsia="仿宋" w:cs="宋体"/>
                <w:color w:val="000000"/>
                <w:kern w:val="0"/>
                <w:sz w:val="24"/>
                <w:szCs w:val="24"/>
              </w:rPr>
            </w:pPr>
            <w:r>
              <w:rPr>
                <w:rFonts w:hint="eastAsia" w:ascii="Times New Roman" w:hAnsi="Times New Roman" w:eastAsia="仿宋"/>
                <w:color w:val="000000"/>
                <w:kern w:val="0"/>
                <w:sz w:val="24"/>
                <w:szCs w:val="24"/>
              </w:rPr>
              <w:t>2、</w:t>
            </w:r>
            <w:r>
              <w:rPr>
                <w:rFonts w:hint="eastAsia" w:ascii="仿宋" w:hAnsi="仿宋" w:eastAsia="仿宋" w:cs="宋体"/>
                <w:color w:val="000000"/>
                <w:kern w:val="0"/>
                <w:sz w:val="24"/>
                <w:szCs w:val="24"/>
              </w:rPr>
              <w:t>理论上总分不允许出现满分和零分。</w:t>
            </w:r>
          </w:p>
        </w:tc>
        <w:tc>
          <w:tcPr>
            <w:tcW w:w="56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p>
        </w:tc>
        <w:tc>
          <w:tcPr>
            <w:tcW w:w="56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p>
        </w:tc>
        <w:tc>
          <w:tcPr>
            <w:tcW w:w="56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p>
        </w:tc>
        <w:tc>
          <w:tcPr>
            <w:tcW w:w="56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p>
        </w:tc>
        <w:tc>
          <w:tcPr>
            <w:tcW w:w="56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p>
        </w:tc>
        <w:tc>
          <w:tcPr>
            <w:tcW w:w="132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300" w:hRule="atLeast"/>
        </w:trPr>
        <w:tc>
          <w:tcPr>
            <w:tcW w:w="130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p>
        </w:tc>
        <w:tc>
          <w:tcPr>
            <w:tcW w:w="10296" w:type="dxa"/>
            <w:gridSpan w:val="8"/>
            <w:tcBorders>
              <w:top w:val="nil"/>
              <w:left w:val="nil"/>
              <w:bottom w:val="nil"/>
              <w:right w:val="nil"/>
            </w:tcBorders>
            <w:vAlign w:val="center"/>
          </w:tcPr>
          <w:p>
            <w:pPr>
              <w:widowControl/>
              <w:jc w:val="left"/>
              <w:rPr>
                <w:rFonts w:ascii="仿宋" w:hAnsi="仿宋" w:eastAsia="仿宋" w:cs="宋体"/>
                <w:color w:val="000000"/>
                <w:kern w:val="0"/>
                <w:sz w:val="24"/>
                <w:szCs w:val="24"/>
              </w:rPr>
            </w:pPr>
            <w:r>
              <w:rPr>
                <w:rFonts w:hint="eastAsia" w:ascii="Times New Roman" w:hAnsi="Times New Roman" w:eastAsia="仿宋"/>
                <w:color w:val="000000"/>
                <w:kern w:val="0"/>
                <w:sz w:val="24"/>
                <w:szCs w:val="24"/>
              </w:rPr>
              <w:t>3、</w:t>
            </w:r>
            <w:r>
              <w:rPr>
                <w:rFonts w:hint="eastAsia" w:ascii="仿宋" w:hAnsi="仿宋" w:eastAsia="仿宋" w:cs="宋体"/>
                <w:color w:val="000000"/>
                <w:kern w:val="0"/>
                <w:sz w:val="24"/>
                <w:szCs w:val="24"/>
              </w:rPr>
              <w:t>互评原则：在本人评完分的基础上，交由其余干事进行评分，再发回给自己，最后交给部长。</w:t>
            </w:r>
          </w:p>
        </w:tc>
        <w:tc>
          <w:tcPr>
            <w:tcW w:w="56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p>
        </w:tc>
        <w:tc>
          <w:tcPr>
            <w:tcW w:w="1320" w:type="dxa"/>
            <w:tcBorders>
              <w:top w:val="nil"/>
              <w:left w:val="nil"/>
              <w:bottom w:val="nil"/>
              <w:right w:val="nil"/>
            </w:tcBorders>
            <w:vAlign w:val="center"/>
          </w:tcPr>
          <w:p>
            <w:pPr>
              <w:widowControl/>
              <w:jc w:val="left"/>
              <w:rPr>
                <w:rFonts w:ascii="仿宋" w:hAnsi="仿宋" w:eastAsia="仿宋" w:cs="宋体"/>
                <w:color w:val="000000"/>
                <w:kern w:val="0"/>
                <w:sz w:val="24"/>
                <w:szCs w:val="24"/>
              </w:rPr>
            </w:pPr>
          </w:p>
        </w:tc>
      </w:tr>
      <w:tr>
        <w:tblPrEx>
          <w:tblLayout w:type="fixed"/>
          <w:tblCellMar>
            <w:top w:w="0" w:type="dxa"/>
            <w:left w:w="108" w:type="dxa"/>
            <w:bottom w:w="0" w:type="dxa"/>
            <w:right w:w="108" w:type="dxa"/>
          </w:tblCellMar>
        </w:tblPrEx>
        <w:trPr>
          <w:trHeight w:val="270" w:hRule="atLeast"/>
        </w:trPr>
        <w:tc>
          <w:tcPr>
            <w:tcW w:w="1300" w:type="dxa"/>
            <w:tcBorders>
              <w:top w:val="nil"/>
              <w:left w:val="nil"/>
              <w:bottom w:val="nil"/>
              <w:right w:val="nil"/>
            </w:tcBorders>
            <w:vAlign w:val="center"/>
          </w:tcPr>
          <w:p>
            <w:pPr>
              <w:widowControl/>
              <w:jc w:val="left"/>
              <w:rPr>
                <w:rFonts w:ascii="Times New Roman" w:hAnsi="Times New Roman" w:eastAsia="仿宋"/>
                <w:color w:val="000000"/>
                <w:kern w:val="0"/>
                <w:sz w:val="24"/>
                <w:szCs w:val="24"/>
              </w:rPr>
            </w:pPr>
          </w:p>
        </w:tc>
        <w:tc>
          <w:tcPr>
            <w:tcW w:w="8056" w:type="dxa"/>
            <w:gridSpan w:val="4"/>
            <w:tcBorders>
              <w:top w:val="nil"/>
              <w:left w:val="nil"/>
              <w:bottom w:val="nil"/>
              <w:right w:val="nil"/>
            </w:tcBorders>
            <w:vAlign w:val="center"/>
          </w:tcPr>
          <w:p>
            <w:pPr>
              <w:widowControl/>
              <w:jc w:val="left"/>
              <w:rPr>
                <w:rFonts w:ascii="Times New Roman" w:hAnsi="Times New Roman" w:eastAsia="仿宋"/>
                <w:color w:val="000000"/>
                <w:kern w:val="0"/>
                <w:sz w:val="24"/>
                <w:szCs w:val="24"/>
              </w:rPr>
            </w:pPr>
            <w:r>
              <w:rPr>
                <w:rFonts w:hint="eastAsia" w:ascii="Times New Roman" w:hAnsi="Times New Roman" w:eastAsia="仿宋"/>
                <w:color w:val="000000"/>
                <w:kern w:val="0"/>
                <w:sz w:val="24"/>
                <w:szCs w:val="24"/>
              </w:rPr>
              <w:t>4、若有疑问，请咨询新闻部部长</w:t>
            </w:r>
            <w:r>
              <w:rPr>
                <w:rFonts w:hint="eastAsia" w:ascii="Times New Roman" w:hAnsi="Times New Roman" w:eastAsia="仿宋"/>
                <w:color w:val="000000"/>
                <w:kern w:val="0"/>
                <w:sz w:val="24"/>
                <w:szCs w:val="24"/>
                <w:lang w:val="en-US" w:eastAsia="zh-CN"/>
              </w:rPr>
              <w:t>骆土华</w:t>
            </w:r>
            <w:r>
              <w:rPr>
                <w:rFonts w:hint="eastAsia" w:ascii="Times New Roman" w:hAnsi="Times New Roman" w:eastAsia="仿宋"/>
                <w:color w:val="000000"/>
                <w:kern w:val="0"/>
                <w:sz w:val="24"/>
                <w:szCs w:val="24"/>
              </w:rPr>
              <w:t>（15521030237）</w:t>
            </w:r>
          </w:p>
        </w:tc>
        <w:tc>
          <w:tcPr>
            <w:tcW w:w="560" w:type="dxa"/>
            <w:tcBorders>
              <w:top w:val="nil"/>
              <w:left w:val="nil"/>
              <w:bottom w:val="nil"/>
              <w:right w:val="nil"/>
            </w:tcBorders>
            <w:vAlign w:val="center"/>
          </w:tcPr>
          <w:p>
            <w:pPr>
              <w:widowControl/>
              <w:jc w:val="left"/>
              <w:rPr>
                <w:rFonts w:ascii="Times New Roman" w:hAnsi="Times New Roman" w:eastAsia="仿宋"/>
                <w:color w:val="000000"/>
                <w:kern w:val="0"/>
                <w:sz w:val="24"/>
                <w:szCs w:val="24"/>
              </w:rPr>
            </w:pPr>
          </w:p>
        </w:tc>
        <w:tc>
          <w:tcPr>
            <w:tcW w:w="560" w:type="dxa"/>
            <w:tcBorders>
              <w:top w:val="nil"/>
              <w:left w:val="nil"/>
              <w:bottom w:val="nil"/>
              <w:right w:val="nil"/>
            </w:tcBorders>
            <w:vAlign w:val="center"/>
          </w:tcPr>
          <w:p>
            <w:pPr>
              <w:widowControl/>
              <w:jc w:val="left"/>
              <w:rPr>
                <w:rFonts w:ascii="Times New Roman" w:hAnsi="Times New Roman" w:eastAsia="仿宋"/>
                <w:color w:val="000000"/>
                <w:kern w:val="0"/>
                <w:sz w:val="24"/>
                <w:szCs w:val="24"/>
              </w:rPr>
            </w:pPr>
          </w:p>
        </w:tc>
        <w:tc>
          <w:tcPr>
            <w:tcW w:w="560" w:type="dxa"/>
            <w:tcBorders>
              <w:top w:val="nil"/>
              <w:left w:val="nil"/>
              <w:bottom w:val="nil"/>
              <w:right w:val="nil"/>
            </w:tcBorders>
            <w:vAlign w:val="center"/>
          </w:tcPr>
          <w:p>
            <w:pPr>
              <w:widowControl/>
              <w:jc w:val="left"/>
              <w:rPr>
                <w:rFonts w:ascii="Times New Roman" w:hAnsi="Times New Roman" w:eastAsia="仿宋"/>
                <w:color w:val="000000"/>
                <w:kern w:val="0"/>
                <w:sz w:val="24"/>
                <w:szCs w:val="24"/>
              </w:rPr>
            </w:pPr>
          </w:p>
        </w:tc>
        <w:tc>
          <w:tcPr>
            <w:tcW w:w="560" w:type="dxa"/>
            <w:tcBorders>
              <w:top w:val="nil"/>
              <w:left w:val="nil"/>
              <w:bottom w:val="nil"/>
              <w:right w:val="nil"/>
            </w:tcBorders>
            <w:vAlign w:val="center"/>
          </w:tcPr>
          <w:p>
            <w:pPr>
              <w:widowControl/>
              <w:jc w:val="left"/>
              <w:rPr>
                <w:rFonts w:ascii="Times New Roman" w:hAnsi="Times New Roman" w:eastAsia="仿宋"/>
                <w:color w:val="000000"/>
                <w:kern w:val="0"/>
                <w:sz w:val="24"/>
                <w:szCs w:val="24"/>
              </w:rPr>
            </w:pPr>
          </w:p>
        </w:tc>
        <w:tc>
          <w:tcPr>
            <w:tcW w:w="560" w:type="dxa"/>
            <w:tcBorders>
              <w:top w:val="nil"/>
              <w:left w:val="nil"/>
              <w:bottom w:val="nil"/>
              <w:right w:val="nil"/>
            </w:tcBorders>
            <w:vAlign w:val="center"/>
          </w:tcPr>
          <w:p>
            <w:pPr>
              <w:widowControl/>
              <w:jc w:val="left"/>
              <w:rPr>
                <w:rFonts w:ascii="Times New Roman" w:hAnsi="Times New Roman" w:eastAsia="仿宋"/>
                <w:color w:val="000000"/>
                <w:kern w:val="0"/>
                <w:sz w:val="24"/>
                <w:szCs w:val="24"/>
              </w:rPr>
            </w:pPr>
          </w:p>
        </w:tc>
        <w:tc>
          <w:tcPr>
            <w:tcW w:w="1320" w:type="dxa"/>
            <w:tcBorders>
              <w:top w:val="nil"/>
              <w:left w:val="nil"/>
              <w:bottom w:val="nil"/>
              <w:right w:val="nil"/>
            </w:tcBorders>
            <w:vAlign w:val="center"/>
          </w:tcPr>
          <w:p>
            <w:pPr>
              <w:widowControl/>
              <w:jc w:val="left"/>
              <w:rPr>
                <w:rFonts w:ascii="Times New Roman" w:hAnsi="Times New Roman" w:eastAsia="仿宋"/>
                <w:color w:val="000000"/>
                <w:kern w:val="0"/>
                <w:sz w:val="24"/>
                <w:szCs w:val="24"/>
              </w:rPr>
            </w:pPr>
          </w:p>
        </w:tc>
      </w:tr>
    </w:tbl>
    <w:p>
      <w:pPr>
        <w:sectPr>
          <w:pgSz w:w="16838" w:h="11906" w:orient="landscape"/>
          <w:pgMar w:top="1800" w:right="1440" w:bottom="1800" w:left="1440" w:header="851" w:footer="992" w:gutter="0"/>
          <w:cols w:space="425" w:num="1"/>
          <w:docGrid w:type="lines" w:linePitch="312" w:charSpace="0"/>
        </w:sectPr>
      </w:pPr>
    </w:p>
    <w:tbl>
      <w:tblPr>
        <w:tblStyle w:val="4"/>
        <w:tblW w:w="10065" w:type="dxa"/>
        <w:tblInd w:w="-8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2126"/>
        <w:gridCol w:w="2977"/>
        <w:gridCol w:w="850"/>
        <w:gridCol w:w="851"/>
        <w:gridCol w:w="850"/>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065" w:type="dxa"/>
            <w:gridSpan w:val="7"/>
          </w:tcPr>
          <w:p>
            <w:pPr>
              <w:jc w:val="center"/>
              <w:rPr>
                <w:rFonts w:hint="eastAsia" w:eastAsiaTheme="minorEastAsia"/>
                <w:lang w:val="en-US" w:eastAsia="zh-CN"/>
              </w:rPr>
            </w:pPr>
            <w:r>
              <w:rPr>
                <w:rFonts w:hint="eastAsia"/>
                <w:b/>
                <w:bCs/>
                <w:sz w:val="24"/>
                <w:szCs w:val="24"/>
                <w:lang w:val="en-US" w:eastAsia="zh-CN"/>
              </w:rPr>
              <w:t>学职部</w:t>
            </w:r>
            <w:r>
              <w:rPr>
                <w:rFonts w:hint="eastAsia"/>
                <w:b/>
                <w:bCs/>
                <w:sz w:val="24"/>
                <w:szCs w:val="24"/>
              </w:rPr>
              <w:t>考核</w:t>
            </w:r>
            <w:r>
              <w:rPr>
                <w:rFonts w:hint="eastAsia"/>
                <w:b/>
                <w:bCs/>
                <w:sz w:val="24"/>
                <w:szCs w:val="24"/>
                <w:lang w:val="en-US" w:eastAsia="zh-CN"/>
              </w:rPr>
              <w:t>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8" w:hRule="atLeast"/>
        </w:trPr>
        <w:tc>
          <w:tcPr>
            <w:tcW w:w="1560" w:type="dxa"/>
            <w:vMerge w:val="restart"/>
          </w:tcPr>
          <w:p>
            <w:pPr>
              <w:rPr>
                <w:rFonts w:hint="eastAsia"/>
              </w:rPr>
            </w:pPr>
            <w:r>
              <w:rPr>
                <w:rFonts w:hint="eastAsia"/>
              </w:rPr>
              <w:t>考核项目</w:t>
            </w:r>
          </w:p>
        </w:tc>
        <w:tc>
          <w:tcPr>
            <w:tcW w:w="2126" w:type="dxa"/>
            <w:vMerge w:val="restart"/>
          </w:tcPr>
          <w:p>
            <w:r>
              <w:rPr>
                <w:rFonts w:hint="eastAsia"/>
              </w:rPr>
              <w:t>具体项目</w:t>
            </w:r>
          </w:p>
        </w:tc>
        <w:tc>
          <w:tcPr>
            <w:tcW w:w="2977" w:type="dxa"/>
            <w:vMerge w:val="restart"/>
          </w:tcPr>
          <w:p>
            <w:r>
              <w:rPr>
                <w:rFonts w:hint="eastAsia"/>
              </w:rPr>
              <w:t>评分标准</w:t>
            </w:r>
          </w:p>
        </w:tc>
        <w:tc>
          <w:tcPr>
            <w:tcW w:w="3402" w:type="dxa"/>
            <w:gridSpan w:val="4"/>
          </w:tcPr>
          <w:p>
            <w:pPr>
              <w:jc w:val="center"/>
            </w:pPr>
            <w:r>
              <w:rPr>
                <w:rFonts w:hint="eastAsia"/>
              </w:rPr>
              <w:t>学习委员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7" w:hRule="atLeast"/>
        </w:trPr>
        <w:tc>
          <w:tcPr>
            <w:tcW w:w="1560" w:type="dxa"/>
            <w:vMerge w:val="continue"/>
          </w:tcPr>
          <w:p>
            <w:pPr>
              <w:rPr>
                <w:rFonts w:hint="eastAsia"/>
              </w:rPr>
            </w:pPr>
          </w:p>
        </w:tc>
        <w:tc>
          <w:tcPr>
            <w:tcW w:w="2126" w:type="dxa"/>
            <w:vMerge w:val="continue"/>
          </w:tcPr>
          <w:p>
            <w:pPr>
              <w:rPr>
                <w:rFonts w:hint="eastAsia"/>
              </w:rPr>
            </w:pPr>
          </w:p>
        </w:tc>
        <w:tc>
          <w:tcPr>
            <w:tcW w:w="2977" w:type="dxa"/>
            <w:vMerge w:val="continue"/>
          </w:tcPr>
          <w:p>
            <w:pPr>
              <w:rPr>
                <w:rFonts w:hint="eastAsia"/>
              </w:rPr>
            </w:pPr>
          </w:p>
        </w:tc>
        <w:tc>
          <w:tcPr>
            <w:tcW w:w="850" w:type="dxa"/>
          </w:tcPr>
          <w:p>
            <w:r>
              <w:rPr>
                <w:rFonts w:hint="eastAsia"/>
                <w:u w:val="single"/>
              </w:rPr>
              <w:t xml:space="preserve">  </w:t>
            </w:r>
            <w:r>
              <w:rPr>
                <w:rFonts w:hint="eastAsia"/>
              </w:rPr>
              <w:t>月份</w:t>
            </w:r>
          </w:p>
        </w:tc>
        <w:tc>
          <w:tcPr>
            <w:tcW w:w="851" w:type="dxa"/>
          </w:tcPr>
          <w:p>
            <w:r>
              <w:rPr>
                <w:rFonts w:hint="eastAsia"/>
                <w:u w:val="single"/>
              </w:rPr>
              <w:t xml:space="preserve">  </w:t>
            </w:r>
            <w:r>
              <w:rPr>
                <w:rFonts w:hint="eastAsia"/>
              </w:rPr>
              <w:t>月份</w:t>
            </w:r>
          </w:p>
        </w:tc>
        <w:tc>
          <w:tcPr>
            <w:tcW w:w="850" w:type="dxa"/>
          </w:tcPr>
          <w:p>
            <w:r>
              <w:rPr>
                <w:rFonts w:hint="eastAsia"/>
                <w:u w:val="single"/>
              </w:rPr>
              <w:t xml:space="preserve">  </w:t>
            </w:r>
            <w:r>
              <w:rPr>
                <w:rFonts w:hint="eastAsia"/>
              </w:rPr>
              <w:t>月份</w:t>
            </w:r>
          </w:p>
        </w:tc>
        <w:tc>
          <w:tcPr>
            <w:tcW w:w="851" w:type="dxa"/>
          </w:tcPr>
          <w:p>
            <w:r>
              <w:rPr>
                <w:rFonts w:hint="eastAsia"/>
                <w:u w:val="single"/>
              </w:rPr>
              <w:t xml:space="preserve">  </w:t>
            </w:r>
            <w:r>
              <w:rPr>
                <w:rFonts w:hint="eastAsia"/>
              </w:rPr>
              <w:t>月份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0" w:type="dxa"/>
          </w:tcPr>
          <w:p>
            <w:r>
              <w:rPr>
                <w:rFonts w:hint="eastAsia"/>
              </w:rPr>
              <w:t>出勤（15）</w:t>
            </w:r>
          </w:p>
        </w:tc>
        <w:tc>
          <w:tcPr>
            <w:tcW w:w="2126" w:type="dxa"/>
          </w:tcPr>
          <w:p>
            <w:pPr>
              <w:rPr>
                <w:rFonts w:hint="eastAsia" w:eastAsiaTheme="minorEastAsia"/>
                <w:lang w:eastAsia="zh-CN"/>
              </w:rPr>
            </w:pPr>
            <w:r>
              <w:rPr>
                <w:rFonts w:hint="eastAsia"/>
              </w:rPr>
              <w:t>学委、学科委会议</w:t>
            </w:r>
            <w:r>
              <w:rPr>
                <w:rFonts w:hint="eastAsia"/>
                <w:lang w:eastAsia="zh-CN"/>
              </w:rPr>
              <w:t>（</w:t>
            </w:r>
            <w:r>
              <w:rPr>
                <w:rFonts w:hint="eastAsia"/>
                <w:lang w:val="en-US" w:eastAsia="zh-CN"/>
              </w:rPr>
              <w:t>15</w:t>
            </w:r>
            <w:r>
              <w:rPr>
                <w:rFonts w:hint="eastAsia"/>
                <w:lang w:eastAsia="zh-CN"/>
              </w:rPr>
              <w:t>）</w:t>
            </w:r>
          </w:p>
        </w:tc>
        <w:tc>
          <w:tcPr>
            <w:tcW w:w="2977" w:type="dxa"/>
          </w:tcPr>
          <w:p>
            <w:r>
              <w:rPr>
                <w:rFonts w:hint="eastAsia"/>
              </w:rPr>
              <w:t>不迟到不早退（15）</w:t>
            </w:r>
          </w:p>
          <w:p>
            <w:pPr>
              <w:rPr>
                <w:rFonts w:hint="eastAsia"/>
              </w:rPr>
            </w:pPr>
          </w:p>
          <w:p>
            <w:pPr>
              <w:rPr>
                <w:rFonts w:hint="eastAsia"/>
              </w:rPr>
            </w:pPr>
            <w:r>
              <w:rPr>
                <w:rFonts w:hint="eastAsia"/>
              </w:rPr>
              <w:t>迟到（早退）但在会议开始之前（期间）和负责人说明情况（10）</w:t>
            </w:r>
          </w:p>
          <w:p>
            <w:r>
              <w:rPr>
                <w:rFonts w:hint="eastAsia"/>
              </w:rPr>
              <w:t>迟到（早退）但未在会议开始之前（期间）和负责人说明情况（5）</w:t>
            </w:r>
          </w:p>
          <w:p/>
          <w:p>
            <w:r>
              <w:rPr>
                <w:rFonts w:hint="eastAsia"/>
              </w:rPr>
              <w:t>请假（8）</w:t>
            </w:r>
          </w:p>
          <w:p>
            <w:pPr>
              <w:rPr>
                <w:rFonts w:hint="eastAsia"/>
              </w:rPr>
            </w:pPr>
          </w:p>
          <w:p>
            <w:pPr>
              <w:rPr>
                <w:rFonts w:hint="eastAsia"/>
              </w:rPr>
            </w:pPr>
            <w:r>
              <w:rPr>
                <w:rFonts w:hint="eastAsia"/>
              </w:rPr>
              <w:t>未出席（未和负责人说明情况）（0）</w:t>
            </w:r>
          </w:p>
        </w:tc>
        <w:tc>
          <w:tcPr>
            <w:tcW w:w="850" w:type="dxa"/>
          </w:tcPr>
          <w:p/>
        </w:tc>
        <w:tc>
          <w:tcPr>
            <w:tcW w:w="851" w:type="dxa"/>
          </w:tcPr>
          <w:p/>
        </w:tc>
        <w:tc>
          <w:tcPr>
            <w:tcW w:w="850" w:type="dxa"/>
          </w:tcPr>
          <w:p/>
        </w:tc>
        <w:tc>
          <w:tcPr>
            <w:tcW w:w="851"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18" w:hRule="atLeast"/>
        </w:trPr>
        <w:tc>
          <w:tcPr>
            <w:tcW w:w="1560" w:type="dxa"/>
            <w:vMerge w:val="restart"/>
          </w:tcPr>
          <w:p>
            <w:r>
              <w:rPr>
                <w:rFonts w:hint="eastAsia"/>
              </w:rPr>
              <w:t>常规工作（45）</w:t>
            </w:r>
          </w:p>
        </w:tc>
        <w:tc>
          <w:tcPr>
            <w:tcW w:w="2126" w:type="dxa"/>
            <w:vMerge w:val="restart"/>
          </w:tcPr>
          <w:p>
            <w:pPr>
              <w:rPr>
                <w:rFonts w:hint="eastAsia"/>
              </w:rPr>
            </w:pPr>
            <w:r>
              <w:rPr>
                <w:rFonts w:hint="eastAsia"/>
              </w:rPr>
              <w:t>通知的回复（20）</w:t>
            </w:r>
          </w:p>
        </w:tc>
        <w:tc>
          <w:tcPr>
            <w:tcW w:w="2977" w:type="dxa"/>
          </w:tcPr>
          <w:p>
            <w:pPr>
              <w:rPr>
                <w:b/>
              </w:rPr>
            </w:pPr>
            <w:r>
              <w:rPr>
                <w:rFonts w:hint="eastAsia"/>
                <w:b/>
              </w:rPr>
              <w:t>非紧急情况下</w:t>
            </w:r>
          </w:p>
          <w:p>
            <w:r>
              <w:rPr>
                <w:rFonts w:hint="eastAsia"/>
              </w:rPr>
              <w:t>一天内回复（10）</w:t>
            </w:r>
          </w:p>
          <w:p>
            <w:r>
              <w:rPr>
                <w:rFonts w:hint="eastAsia"/>
              </w:rPr>
              <w:t>两天内回复（5）</w:t>
            </w:r>
          </w:p>
          <w:p>
            <w:pPr>
              <w:rPr>
                <w:rFonts w:hint="eastAsia"/>
              </w:rPr>
            </w:pPr>
            <w:r>
              <w:rPr>
                <w:rFonts w:hint="eastAsia"/>
              </w:rPr>
              <w:t>超过两天无论是否回复（0）</w:t>
            </w:r>
          </w:p>
          <w:p>
            <w:pPr>
              <w:rPr>
                <w:b/>
              </w:rPr>
            </w:pPr>
            <w:r>
              <w:rPr>
                <w:rFonts w:hint="eastAsia"/>
                <w:b/>
              </w:rPr>
              <w:t>紧急情况但非特殊情况下</w:t>
            </w:r>
          </w:p>
          <w:p>
            <w:r>
              <w:rPr>
                <w:rFonts w:hint="eastAsia"/>
              </w:rPr>
              <w:t>半天内回复（10）</w:t>
            </w:r>
          </w:p>
          <w:p>
            <w:r>
              <w:rPr>
                <w:rFonts w:hint="eastAsia"/>
              </w:rPr>
              <w:t>一天内回复（5）</w:t>
            </w:r>
          </w:p>
          <w:p>
            <w:r>
              <w:rPr>
                <w:rFonts w:hint="eastAsia"/>
              </w:rPr>
              <w:t>超过一天无论是否回复（0）</w:t>
            </w:r>
          </w:p>
          <w:p>
            <w:pPr>
              <w:rPr>
                <w:rFonts w:hint="eastAsia"/>
              </w:rPr>
            </w:pPr>
          </w:p>
        </w:tc>
        <w:tc>
          <w:tcPr>
            <w:tcW w:w="850" w:type="dxa"/>
            <w:vMerge w:val="restart"/>
          </w:tcPr>
          <w:p/>
        </w:tc>
        <w:tc>
          <w:tcPr>
            <w:tcW w:w="851" w:type="dxa"/>
            <w:vMerge w:val="restart"/>
          </w:tcPr>
          <w:p/>
        </w:tc>
        <w:tc>
          <w:tcPr>
            <w:tcW w:w="850" w:type="dxa"/>
            <w:vMerge w:val="restart"/>
          </w:tcPr>
          <w:p/>
        </w:tc>
        <w:tc>
          <w:tcPr>
            <w:tcW w:w="851" w:type="dxa"/>
            <w:vMerge w:val="restart"/>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17" w:hRule="atLeast"/>
        </w:trPr>
        <w:tc>
          <w:tcPr>
            <w:tcW w:w="1560" w:type="dxa"/>
            <w:vMerge w:val="continue"/>
          </w:tcPr>
          <w:p>
            <w:pPr>
              <w:rPr>
                <w:rFonts w:hint="eastAsia"/>
              </w:rPr>
            </w:pPr>
          </w:p>
        </w:tc>
        <w:tc>
          <w:tcPr>
            <w:tcW w:w="2126" w:type="dxa"/>
            <w:vMerge w:val="continue"/>
          </w:tcPr>
          <w:p>
            <w:pPr>
              <w:rPr>
                <w:rFonts w:hint="eastAsia"/>
              </w:rPr>
            </w:pPr>
          </w:p>
        </w:tc>
        <w:tc>
          <w:tcPr>
            <w:tcW w:w="2977" w:type="dxa"/>
          </w:tcPr>
          <w:p>
            <w:pPr>
              <w:rPr>
                <w:b/>
              </w:rPr>
            </w:pPr>
            <w:r>
              <w:rPr>
                <w:rFonts w:hint="eastAsia"/>
                <w:b/>
              </w:rPr>
              <w:t>是否每次通知都回复</w:t>
            </w:r>
          </w:p>
          <w:p>
            <w:r>
              <w:rPr>
                <w:rFonts w:hint="eastAsia"/>
              </w:rPr>
              <w:t>每次都回复（10）</w:t>
            </w:r>
          </w:p>
          <w:p>
            <w:r>
              <w:rPr>
                <w:rFonts w:hint="eastAsia"/>
              </w:rPr>
              <w:t>80~</w:t>
            </w:r>
            <w:r>
              <w:t>100</w:t>
            </w:r>
            <w:r>
              <w:rPr>
                <w:rFonts w:hint="eastAsia"/>
              </w:rPr>
              <w:t>%都回复（8）</w:t>
            </w:r>
          </w:p>
          <w:p>
            <w:r>
              <w:rPr>
                <w:rFonts w:hint="eastAsia"/>
              </w:rPr>
              <w:t>50~</w:t>
            </w:r>
            <w:r>
              <w:t>80</w:t>
            </w:r>
            <w:r>
              <w:rPr>
                <w:rFonts w:hint="eastAsia"/>
              </w:rPr>
              <w:t>%都回复（5）</w:t>
            </w:r>
          </w:p>
          <w:p>
            <w:r>
              <w:rPr>
                <w:rFonts w:hint="eastAsia"/>
              </w:rPr>
              <w:t>0~</w:t>
            </w:r>
            <w:r>
              <w:t>50</w:t>
            </w:r>
            <w:r>
              <w:rPr>
                <w:rFonts w:hint="eastAsia"/>
              </w:rPr>
              <w:t>%都回复（3）</w:t>
            </w:r>
          </w:p>
          <w:p>
            <w:pPr>
              <w:rPr>
                <w:rFonts w:hint="eastAsia"/>
              </w:rPr>
            </w:pPr>
            <w:r>
              <w:rPr>
                <w:rFonts w:hint="eastAsia"/>
              </w:rPr>
              <w:t>一次都没回复（0）</w:t>
            </w:r>
          </w:p>
        </w:tc>
        <w:tc>
          <w:tcPr>
            <w:tcW w:w="850" w:type="dxa"/>
            <w:vMerge w:val="continue"/>
          </w:tcPr>
          <w:p/>
        </w:tc>
        <w:tc>
          <w:tcPr>
            <w:tcW w:w="851" w:type="dxa"/>
            <w:vMerge w:val="continue"/>
          </w:tcPr>
          <w:p/>
        </w:tc>
        <w:tc>
          <w:tcPr>
            <w:tcW w:w="850" w:type="dxa"/>
            <w:vMerge w:val="continue"/>
          </w:tcPr>
          <w:p/>
        </w:tc>
        <w:tc>
          <w:tcPr>
            <w:tcW w:w="851" w:type="dxa"/>
            <w:vMerge w:val="continue"/>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17" w:hRule="atLeast"/>
        </w:trPr>
        <w:tc>
          <w:tcPr>
            <w:tcW w:w="1560" w:type="dxa"/>
            <w:vMerge w:val="continue"/>
          </w:tcPr>
          <w:p>
            <w:pPr>
              <w:rPr>
                <w:rFonts w:hint="eastAsia"/>
              </w:rPr>
            </w:pPr>
          </w:p>
        </w:tc>
        <w:tc>
          <w:tcPr>
            <w:tcW w:w="2126" w:type="dxa"/>
          </w:tcPr>
          <w:p>
            <w:pPr>
              <w:rPr>
                <w:rFonts w:hint="eastAsia"/>
              </w:rPr>
            </w:pPr>
            <w:r>
              <w:rPr>
                <w:rFonts w:hint="eastAsia"/>
              </w:rPr>
              <w:t>给定截止日期收集班级同学学术竞赛信息（10）</w:t>
            </w:r>
          </w:p>
        </w:tc>
        <w:tc>
          <w:tcPr>
            <w:tcW w:w="2977" w:type="dxa"/>
          </w:tcPr>
          <w:p>
            <w:r>
              <w:rPr>
                <w:rFonts w:hint="eastAsia"/>
              </w:rPr>
              <w:t>截止日期之前（10）</w:t>
            </w:r>
          </w:p>
          <w:p>
            <w:r>
              <w:rPr>
                <w:rFonts w:hint="eastAsia"/>
              </w:rPr>
              <w:t>截止日期后一天内（5）</w:t>
            </w:r>
          </w:p>
          <w:p>
            <w:r>
              <w:rPr>
                <w:rFonts w:hint="eastAsia"/>
              </w:rPr>
              <w:t>截止日期后两天内（不包括第一天）（3）</w:t>
            </w:r>
          </w:p>
          <w:p>
            <w:pPr>
              <w:rPr>
                <w:rFonts w:hint="eastAsia"/>
              </w:rPr>
            </w:pPr>
            <w:r>
              <w:rPr>
                <w:rFonts w:hint="eastAsia"/>
              </w:rPr>
              <w:t>截止日期后超过两天（0）</w:t>
            </w:r>
          </w:p>
        </w:tc>
        <w:tc>
          <w:tcPr>
            <w:tcW w:w="850" w:type="dxa"/>
          </w:tcPr>
          <w:p/>
        </w:tc>
        <w:tc>
          <w:tcPr>
            <w:tcW w:w="851" w:type="dxa"/>
          </w:tcPr>
          <w:p/>
        </w:tc>
        <w:tc>
          <w:tcPr>
            <w:tcW w:w="850" w:type="dxa"/>
          </w:tcPr>
          <w:p/>
        </w:tc>
        <w:tc>
          <w:tcPr>
            <w:tcW w:w="851"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00" w:hRule="atLeast"/>
        </w:trPr>
        <w:tc>
          <w:tcPr>
            <w:tcW w:w="1560" w:type="dxa"/>
            <w:vMerge w:val="continue"/>
          </w:tcPr>
          <w:p>
            <w:pPr>
              <w:rPr>
                <w:rFonts w:hint="eastAsia"/>
              </w:rPr>
            </w:pPr>
          </w:p>
        </w:tc>
        <w:tc>
          <w:tcPr>
            <w:tcW w:w="2126" w:type="dxa"/>
          </w:tcPr>
          <w:p>
            <w:pPr>
              <w:rPr>
                <w:rFonts w:hint="eastAsia"/>
              </w:rPr>
            </w:pPr>
            <w:r>
              <w:rPr>
                <w:rFonts w:hint="eastAsia"/>
              </w:rPr>
              <w:t>转发邮件及相关学术竞赛/活动通知（15）</w:t>
            </w:r>
          </w:p>
        </w:tc>
        <w:tc>
          <w:tcPr>
            <w:tcW w:w="2977" w:type="dxa"/>
          </w:tcPr>
          <w:p>
            <w:r>
              <w:rPr>
                <w:rFonts w:hint="eastAsia"/>
              </w:rPr>
              <w:t>邮件及相关学术竞赛/活动通知下达后</w:t>
            </w:r>
          </w:p>
          <w:p>
            <w:r>
              <w:rPr>
                <w:rFonts w:hint="eastAsia"/>
              </w:rPr>
              <w:t>一天内转发并回复学术部“已转发”（15）</w:t>
            </w:r>
          </w:p>
          <w:p>
            <w:r>
              <w:rPr>
                <w:rFonts w:hint="eastAsia"/>
              </w:rPr>
              <w:t>两天内转发并回复学术部“已转发”（10）</w:t>
            </w:r>
          </w:p>
          <w:p>
            <w:pPr>
              <w:rPr>
                <w:rFonts w:hint="eastAsia"/>
              </w:rPr>
            </w:pPr>
            <w:r>
              <w:rPr>
                <w:rFonts w:hint="eastAsia"/>
              </w:rPr>
              <w:t>在邮件和通知中信息失效（过了竞赛/活动等报名/展示..的截止时间等情况）之前转发并回复学术部“已转发”（5）</w:t>
            </w:r>
          </w:p>
        </w:tc>
        <w:tc>
          <w:tcPr>
            <w:tcW w:w="850" w:type="dxa"/>
          </w:tcPr>
          <w:p/>
        </w:tc>
        <w:tc>
          <w:tcPr>
            <w:tcW w:w="851" w:type="dxa"/>
          </w:tcPr>
          <w:p/>
        </w:tc>
        <w:tc>
          <w:tcPr>
            <w:tcW w:w="850" w:type="dxa"/>
          </w:tcPr>
          <w:p/>
        </w:tc>
        <w:tc>
          <w:tcPr>
            <w:tcW w:w="851"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8" w:hRule="atLeast"/>
        </w:trPr>
        <w:tc>
          <w:tcPr>
            <w:tcW w:w="1560" w:type="dxa"/>
          </w:tcPr>
          <w:p>
            <w:pPr>
              <w:rPr>
                <w:rFonts w:hint="eastAsia"/>
              </w:rPr>
            </w:pPr>
            <w:r>
              <w:rPr>
                <w:rFonts w:hint="eastAsia"/>
              </w:rPr>
              <w:t>总分（60）</w:t>
            </w:r>
          </w:p>
        </w:tc>
        <w:tc>
          <w:tcPr>
            <w:tcW w:w="2126" w:type="dxa"/>
          </w:tcPr>
          <w:p>
            <w:pPr>
              <w:rPr>
                <w:rFonts w:hint="eastAsia"/>
              </w:rPr>
            </w:pPr>
            <w:r>
              <w:rPr>
                <w:rFonts w:hint="eastAsia"/>
              </w:rPr>
              <w:t>60</w:t>
            </w:r>
          </w:p>
        </w:tc>
        <w:tc>
          <w:tcPr>
            <w:tcW w:w="2977" w:type="dxa"/>
          </w:tcPr>
          <w:p>
            <w:pPr>
              <w:rPr>
                <w:rFonts w:hint="eastAsia"/>
                <w:b/>
              </w:rPr>
            </w:pPr>
          </w:p>
        </w:tc>
        <w:tc>
          <w:tcPr>
            <w:tcW w:w="850" w:type="dxa"/>
          </w:tcPr>
          <w:p/>
        </w:tc>
        <w:tc>
          <w:tcPr>
            <w:tcW w:w="851" w:type="dxa"/>
          </w:tcPr>
          <w:p/>
        </w:tc>
        <w:tc>
          <w:tcPr>
            <w:tcW w:w="850" w:type="dxa"/>
          </w:tcPr>
          <w:p/>
        </w:tc>
        <w:tc>
          <w:tcPr>
            <w:tcW w:w="851"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8" w:hRule="atLeast"/>
        </w:trPr>
        <w:tc>
          <w:tcPr>
            <w:tcW w:w="1560" w:type="dxa"/>
          </w:tcPr>
          <w:p>
            <w:pPr>
              <w:rPr>
                <w:rFonts w:hint="eastAsia"/>
              </w:rPr>
            </w:pPr>
            <w:r>
              <w:rPr>
                <w:rFonts w:hint="eastAsia"/>
              </w:rPr>
              <w:t>备注</w:t>
            </w:r>
          </w:p>
        </w:tc>
        <w:tc>
          <w:tcPr>
            <w:tcW w:w="8505" w:type="dxa"/>
            <w:gridSpan w:val="6"/>
          </w:tcPr>
          <w:p>
            <w:pPr>
              <w:pStyle w:val="5"/>
              <w:numPr>
                <w:ilvl w:val="0"/>
                <w:numId w:val="1"/>
              </w:numPr>
              <w:ind w:firstLineChars="0"/>
            </w:pPr>
            <w:r>
              <w:rPr>
                <w:rFonts w:hint="eastAsia"/>
              </w:rPr>
              <w:t>考核评分为每月叠加更新至期末，最后一个月的分数即为总积分。</w:t>
            </w:r>
          </w:p>
          <w:p>
            <w:pPr>
              <w:pStyle w:val="5"/>
              <w:numPr>
                <w:ilvl w:val="0"/>
                <w:numId w:val="1"/>
              </w:numPr>
              <w:ind w:firstLineChars="0"/>
            </w:pPr>
            <w:r>
              <w:rPr>
                <w:rFonts w:hint="eastAsia"/>
              </w:rPr>
              <w:t>每月各项计分形式为“上月累计分数+/-某次加分/扣分</w:t>
            </w:r>
            <w:r>
              <w:t>……</w:t>
            </w:r>
            <w:r>
              <w:rPr>
                <w:rFonts w:hint="eastAsia"/>
              </w:rPr>
              <w:t>=该月累计分数”，未积分和扣分的计为0，第一个月“上月累计分数”以“初始积分满分/0”计。</w:t>
            </w:r>
          </w:p>
          <w:p>
            <w:pPr>
              <w:pStyle w:val="5"/>
              <w:numPr>
                <w:ilvl w:val="0"/>
                <w:numId w:val="1"/>
              </w:numPr>
              <w:ind w:firstLineChars="0"/>
              <w:rPr>
                <w:rFonts w:hint="eastAsia"/>
              </w:rPr>
            </w:pPr>
            <w:r>
              <w:rPr>
                <w:rFonts w:hint="eastAsia"/>
              </w:rPr>
              <w:t>公示周期为一个月，由学术部以excel表格形式群邮公示。</w:t>
            </w:r>
          </w:p>
        </w:tc>
      </w:tr>
    </w:tbl>
    <w:p/>
    <w:p/>
    <w:p/>
    <w:tbl>
      <w:tblPr>
        <w:tblStyle w:val="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0"/>
        <w:gridCol w:w="2841"/>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0" w:type="dxa"/>
            <w:vAlign w:val="center"/>
          </w:tcPr>
          <w:p>
            <w:pPr>
              <w:numPr>
                <w:ilvl w:val="0"/>
                <w:numId w:val="0"/>
              </w:numPr>
              <w:jc w:val="center"/>
              <w:rPr>
                <w:rFonts w:hint="eastAsia" w:eastAsiaTheme="minorEastAsia"/>
                <w:vertAlign w:val="baseline"/>
                <w:lang w:val="en-US" w:eastAsia="zh-CN"/>
              </w:rPr>
            </w:pPr>
            <w:r>
              <w:rPr>
                <w:rFonts w:hint="eastAsia"/>
                <w:vertAlign w:val="baseline"/>
                <w:lang w:val="en-US" w:eastAsia="zh-CN"/>
              </w:rPr>
              <w:t>新闻部评分</w:t>
            </w:r>
            <w:r>
              <w:rPr>
                <w:rFonts w:hint="default" w:ascii="Arial" w:hAnsi="Arial" w:cs="Arial"/>
                <w:vertAlign w:val="baseline"/>
                <w:lang w:val="en-US" w:eastAsia="zh-CN"/>
              </w:rPr>
              <w:t>×</w:t>
            </w:r>
            <w:r>
              <w:rPr>
                <w:rFonts w:hint="eastAsia"/>
                <w:vertAlign w:val="baseline"/>
                <w:lang w:val="en-US" w:eastAsia="zh-CN"/>
              </w:rPr>
              <w:t>0.5</w:t>
            </w:r>
          </w:p>
        </w:tc>
        <w:tc>
          <w:tcPr>
            <w:tcW w:w="2841" w:type="dxa"/>
            <w:vAlign w:val="center"/>
          </w:tcPr>
          <w:p>
            <w:pPr>
              <w:numPr>
                <w:ilvl w:val="0"/>
                <w:numId w:val="0"/>
              </w:numPr>
              <w:jc w:val="center"/>
              <w:rPr>
                <w:rFonts w:hint="eastAsia" w:eastAsiaTheme="minorEastAsia"/>
                <w:vertAlign w:val="baseline"/>
                <w:lang w:val="en-US" w:eastAsia="zh-CN"/>
              </w:rPr>
            </w:pPr>
            <w:r>
              <w:rPr>
                <w:rFonts w:hint="eastAsia"/>
                <w:vertAlign w:val="baseline"/>
                <w:lang w:val="en-US" w:eastAsia="zh-CN"/>
              </w:rPr>
              <w:t>学职部评分</w:t>
            </w:r>
            <w:r>
              <w:rPr>
                <w:rFonts w:hint="default" w:ascii="Arial" w:hAnsi="Arial" w:cs="Arial"/>
                <w:vertAlign w:val="baseline"/>
                <w:lang w:val="en-US" w:eastAsia="zh-CN"/>
              </w:rPr>
              <w:t>×</w:t>
            </w:r>
            <w:r>
              <w:rPr>
                <w:rFonts w:hint="default" w:ascii="Arial" w:hAnsi="Arial" w:cs="Arial"/>
                <w:position w:val="-24"/>
                <w:vertAlign w:val="baseline"/>
                <w:lang w:val="en-US" w:eastAsia="zh-CN"/>
              </w:rPr>
              <w:object>
                <v:shape id="_x0000_i1025" o:spt="75" type="#_x0000_t75" style="height:31pt;width:12pt;" o:ole="t" filled="f" o:preferrelative="t" stroked="f" coordsize="21600,21600">
                  <v:path/>
                  <v:fill on="f" focussize="0,0"/>
                  <v:stroke on="f"/>
                  <v:imagedata r:id="rId5" o:title=""/>
                  <o:lock v:ext="edit" aspectratio="t"/>
                  <w10:wrap type="none"/>
                  <w10:anchorlock/>
                </v:shape>
                <o:OLEObject Type="Embed" ProgID="Equation.KSEE3" ShapeID="_x0000_i1025" DrawAspect="Content" ObjectID="_1468075725" r:id="rId4">
                  <o:LockedField>false</o:LockedField>
                </o:OLEObject>
              </w:object>
            </w:r>
          </w:p>
        </w:tc>
        <w:tc>
          <w:tcPr>
            <w:tcW w:w="2841" w:type="dxa"/>
            <w:vAlign w:val="center"/>
          </w:tcPr>
          <w:p>
            <w:pPr>
              <w:numPr>
                <w:ilvl w:val="0"/>
                <w:numId w:val="0"/>
              </w:numPr>
              <w:jc w:val="center"/>
              <w:rPr>
                <w:rFonts w:hint="eastAsia" w:eastAsiaTheme="minorEastAsia"/>
                <w:vertAlign w:val="baseline"/>
                <w:lang w:val="en-US" w:eastAsia="zh-CN"/>
              </w:rPr>
            </w:pPr>
            <w:r>
              <w:rPr>
                <w:rFonts w:hint="eastAsia"/>
                <w:highlight w:val="yellow"/>
                <w:vertAlign w:val="baseline"/>
                <w:lang w:val="en-US" w:eastAsia="zh-CN"/>
              </w:rPr>
              <w:t>加权总分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0" w:type="dxa"/>
          </w:tcPr>
          <w:p>
            <w:pPr>
              <w:numPr>
                <w:ilvl w:val="0"/>
                <w:numId w:val="0"/>
              </w:numPr>
              <w:rPr>
                <w:rFonts w:hint="eastAsia" w:eastAsiaTheme="minorEastAsia"/>
                <w:vertAlign w:val="baseline"/>
                <w:lang w:val="en-US" w:eastAsia="zh-CN"/>
              </w:rPr>
            </w:pPr>
          </w:p>
        </w:tc>
        <w:tc>
          <w:tcPr>
            <w:tcW w:w="2841" w:type="dxa"/>
          </w:tcPr>
          <w:p>
            <w:pPr>
              <w:numPr>
                <w:ilvl w:val="0"/>
                <w:numId w:val="0"/>
              </w:numPr>
              <w:rPr>
                <w:rFonts w:hint="eastAsia" w:eastAsiaTheme="minorEastAsia"/>
                <w:vertAlign w:val="baseline"/>
                <w:lang w:val="en-US" w:eastAsia="zh-CN"/>
              </w:rPr>
            </w:pPr>
          </w:p>
        </w:tc>
        <w:tc>
          <w:tcPr>
            <w:tcW w:w="2841" w:type="dxa"/>
          </w:tcPr>
          <w:p>
            <w:pPr>
              <w:numPr>
                <w:ilvl w:val="0"/>
                <w:numId w:val="0"/>
              </w:numPr>
              <w:rPr>
                <w:rFonts w:hint="eastAsia" w:eastAsiaTheme="minorEastAsia"/>
                <w:vertAlign w:val="baseline"/>
                <w:lang w:val="en-US" w:eastAsia="zh-CN"/>
              </w:rPr>
            </w:pPr>
          </w:p>
        </w:tc>
      </w:tr>
    </w:tbl>
    <w:p>
      <w:pPr>
        <w:rPr>
          <w:rFonts w:hint="eastAsia" w:ascii="仿宋" w:hAnsi="仿宋" w:eastAsia="仿宋" w:cs="仿宋"/>
          <w:b w:val="0"/>
          <w:bCs w:val="0"/>
          <w:sz w:val="28"/>
          <w:szCs w:val="28"/>
        </w:rPr>
      </w:pPr>
      <w:r>
        <w:rPr>
          <w:rFonts w:hint="eastAsia" w:ascii="仿宋" w:hAnsi="仿宋" w:eastAsia="仿宋" w:cs="仿宋"/>
          <w:b/>
          <w:bCs/>
          <w:sz w:val="28"/>
          <w:szCs w:val="28"/>
          <w:lang w:val="en-US" w:eastAsia="zh-CN"/>
        </w:rPr>
        <w:t>注</w:t>
      </w:r>
      <w:r>
        <w:rPr>
          <w:rFonts w:hint="eastAsia" w:ascii="仿宋" w:hAnsi="仿宋" w:eastAsia="仿宋" w:cs="仿宋"/>
          <w:b w:val="0"/>
          <w:bCs w:val="0"/>
          <w:sz w:val="28"/>
          <w:szCs w:val="28"/>
          <w:lang w:val="en-US" w:eastAsia="zh-CN"/>
        </w:rPr>
        <w:t>：本次考核与年度院级班级优秀干部评选挂钩，所占比重见院级班级优秀干部评选。</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314E50"/>
    <w:multiLevelType w:val="multilevel"/>
    <w:tmpl w:val="48314E5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39015FC"/>
    <w:rsid w:val="1A6D4595"/>
    <w:rsid w:val="639015FC"/>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wmf"/><Relationship Id="rId4" Type="http://schemas.openxmlformats.org/officeDocument/2006/relationships/oleObject" Target="embeddings/oleObject1.bin"/><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xiaolanfang\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2018-08-15T10:57:00Z</dcterms:created>
  <dc:creator>YZYJD</dc:creator>
  <cp:lastModifiedBy>YZYJD</cp:lastModifiedBy>
  <dcterms:modified xsi:type="dcterms:W3CDTF">2018-08-15T11:12:35Z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